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OC Heading"/>
        <w:rPr>
          <w:rFonts w:ascii="Times New Roman" w:cs="Times New Roman" w:hAnsi="Times New Roman" w:eastAsia="Times New Roman"/>
          <w:sz w:val="24"/>
          <w:szCs w:val="24"/>
        </w:rPr>
      </w:pPr>
      <w:r>
        <w:rPr>
          <w:rFonts w:ascii="Times New Roman" w:hAnsi="Times New Roman"/>
          <w:sz w:val="24"/>
          <w:szCs w:val="24"/>
          <w:rtl w:val="0"/>
          <w:lang w:val="en-US"/>
        </w:rPr>
        <w:t>Contents</w:t>
      </w:r>
    </w:p>
    <w:p>
      <w:pPr>
        <w:pStyle w:val="Body"/>
      </w:pPr>
      <w:r>
        <w:rPr>
          <w:rFonts w:ascii="Times New Roman" w:cs="Times New Roman" w:hAnsi="Times New Roman" w:eastAsia="Times New Roman"/>
          <w:sz w:val="24"/>
          <w:szCs w:val="24"/>
        </w:rPr>
        <w:fldChar w:fldCharType="begin" w:fldLock="0"/>
      </w:r>
      <w:r>
        <w:rPr>
          <w:rFonts w:ascii="Times New Roman" w:cs="Times New Roman" w:hAnsi="Times New Roman" w:eastAsia="Times New Roman"/>
          <w:sz w:val="24"/>
          <w:szCs w:val="24"/>
        </w:rPr>
        <w:instrText xml:space="preserve"> TOC \o 1-2 </w:instrText>
      </w:r>
      <w:r>
        <w:rPr>
          <w:rFonts w:ascii="Times New Roman" w:cs="Times New Roman" w:hAnsi="Times New Roman" w:eastAsia="Times New Roman"/>
          <w:sz w:val="24"/>
          <w:szCs w:val="24"/>
        </w:rPr>
        <w:fldChar w:fldCharType="separate" w:fldLock="0"/>
      </w:r>
    </w:p>
    <w:p>
      <w:pPr>
        <w:pStyle w:val="TOC 1"/>
        <w:numPr>
          <w:ilvl w:val="0"/>
          <w:numId w:val="1"/>
        </w:numPr>
      </w:pPr>
      <w:r>
        <w:rPr>
          <w:rFonts w:cs="Arial Unicode MS" w:eastAsia="Arial Unicode MS"/>
          <w:rtl w:val="0"/>
        </w:rPr>
        <w:t>INTRODUCTION</w:t>
        <w:tab/>
      </w:r>
      <w:r>
        <w:rPr/>
        <w:fldChar w:fldCharType="begin" w:fldLock="0"/>
      </w:r>
      <w:r>
        <w:instrText xml:space="preserve"> PAGEREF _Toc \h </w:instrText>
      </w:r>
      <w:r>
        <w:rPr/>
        <w:fldChar w:fldCharType="separate" w:fldLock="0"/>
      </w:r>
      <w:r>
        <w:rPr>
          <w:rFonts w:cs="Arial Unicode MS" w:eastAsia="Arial Unicode MS"/>
          <w:rtl w:val="0"/>
        </w:rPr>
        <w:t>2</w:t>
      </w:r>
      <w:r>
        <w:rPr/>
        <w:fldChar w:fldCharType="end" w:fldLock="0"/>
      </w:r>
    </w:p>
    <w:p>
      <w:pPr>
        <w:pStyle w:val="TOC 2"/>
      </w:pPr>
      <w:r>
        <w:rPr>
          <w:rFonts w:cs="Arial Unicode MS" w:eastAsia="Arial Unicode MS"/>
          <w:rtl w:val="0"/>
        </w:rPr>
        <w:t>1.1 The Constitutional Basis for Gender Equality and Empowerment</w:t>
        <w:tab/>
      </w:r>
      <w:r>
        <w:rPr/>
        <w:fldChar w:fldCharType="begin" w:fldLock="0"/>
      </w:r>
      <w:r>
        <w:instrText xml:space="preserve"> PAGEREF _Toc1 \h </w:instrText>
      </w:r>
      <w:r>
        <w:rPr/>
        <w:fldChar w:fldCharType="separate" w:fldLock="0"/>
      </w:r>
      <w:r>
        <w:rPr>
          <w:rFonts w:cs="Arial Unicode MS" w:eastAsia="Arial Unicode MS"/>
          <w:rtl w:val="0"/>
        </w:rPr>
        <w:t>2</w:t>
      </w:r>
      <w:r>
        <w:rPr/>
        <w:fldChar w:fldCharType="end" w:fldLock="0"/>
      </w:r>
    </w:p>
    <w:p>
      <w:pPr>
        <w:pStyle w:val="TOC 2"/>
        <w:numPr>
          <w:ilvl w:val="1"/>
          <w:numId w:val="2"/>
        </w:numPr>
      </w:pPr>
      <w:r>
        <w:rPr>
          <w:rFonts w:cs="Arial Unicode MS" w:eastAsia="Arial Unicode MS"/>
          <w:rtl w:val="0"/>
        </w:rPr>
        <w:t>The Domestication of the Gender Policy Framework in Migori County</w:t>
        <w:tab/>
      </w:r>
      <w:r>
        <w:rPr/>
        <w:fldChar w:fldCharType="begin" w:fldLock="0"/>
      </w:r>
      <w:r>
        <w:instrText xml:space="preserve"> PAGEREF _Toc2 \h </w:instrText>
      </w:r>
      <w:r>
        <w:rPr/>
        <w:fldChar w:fldCharType="separate" w:fldLock="0"/>
      </w:r>
      <w:r>
        <w:rPr>
          <w:rFonts w:cs="Arial Unicode MS" w:eastAsia="Arial Unicode MS"/>
          <w:rtl w:val="0"/>
        </w:rPr>
        <w:t>4</w:t>
      </w:r>
      <w:r>
        <w:rPr/>
        <w:fldChar w:fldCharType="end" w:fldLock="0"/>
      </w:r>
    </w:p>
    <w:p>
      <w:pPr>
        <w:pStyle w:val="TOC 1"/>
      </w:pPr>
      <w:r>
        <w:rPr>
          <w:rFonts w:cs="Arial Unicode MS" w:eastAsia="Arial Unicode MS"/>
          <w:rtl w:val="0"/>
        </w:rPr>
        <w:t>2. MIGORI COUNTY GENDER POLICY</w:t>
        <w:tab/>
      </w:r>
      <w:r>
        <w:rPr/>
        <w:fldChar w:fldCharType="begin" w:fldLock="0"/>
      </w:r>
      <w:r>
        <w:instrText xml:space="preserve"> PAGEREF _Toc3 \h </w:instrText>
      </w:r>
      <w:r>
        <w:rPr/>
        <w:fldChar w:fldCharType="separate" w:fldLock="0"/>
      </w:r>
      <w:r>
        <w:rPr>
          <w:rFonts w:cs="Arial Unicode MS" w:eastAsia="Arial Unicode MS"/>
          <w:rtl w:val="0"/>
        </w:rPr>
        <w:t>5</w:t>
      </w:r>
      <w:r>
        <w:rPr/>
        <w:fldChar w:fldCharType="end" w:fldLock="0"/>
      </w:r>
    </w:p>
    <w:p>
      <w:pPr>
        <w:pStyle w:val="TOC 2"/>
      </w:pPr>
      <w:r>
        <w:rPr>
          <w:rFonts w:cs="Arial Unicode MS" w:eastAsia="Arial Unicode MS"/>
          <w:rtl w:val="0"/>
        </w:rPr>
        <w:t>2.1 The Gender Policy Vision</w:t>
        <w:tab/>
      </w:r>
      <w:r>
        <w:rPr/>
        <w:fldChar w:fldCharType="begin" w:fldLock="0"/>
      </w:r>
      <w:r>
        <w:instrText xml:space="preserve"> PAGEREF _Toc4 \h </w:instrText>
      </w:r>
      <w:r>
        <w:rPr/>
        <w:fldChar w:fldCharType="separate" w:fldLock="0"/>
      </w:r>
      <w:r>
        <w:rPr>
          <w:rFonts w:cs="Arial Unicode MS" w:eastAsia="Arial Unicode MS"/>
          <w:rtl w:val="0"/>
        </w:rPr>
        <w:t>5</w:t>
      </w:r>
      <w:r>
        <w:rPr/>
        <w:fldChar w:fldCharType="end" w:fldLock="0"/>
      </w:r>
    </w:p>
    <w:p>
      <w:pPr>
        <w:pStyle w:val="TOC 2"/>
      </w:pPr>
      <w:r>
        <w:rPr>
          <w:rFonts w:cs="Arial Unicode MS" w:eastAsia="Arial Unicode MS"/>
          <w:rtl w:val="0"/>
        </w:rPr>
        <w:t>2.2 Overall objective</w:t>
        <w:tab/>
      </w:r>
      <w:r>
        <w:rPr/>
        <w:fldChar w:fldCharType="begin" w:fldLock="0"/>
      </w:r>
      <w:r>
        <w:instrText xml:space="preserve"> PAGEREF _Toc5 \h </w:instrText>
      </w:r>
      <w:r>
        <w:rPr/>
        <w:fldChar w:fldCharType="separate" w:fldLock="0"/>
      </w:r>
      <w:r>
        <w:rPr>
          <w:rFonts w:cs="Arial Unicode MS" w:eastAsia="Arial Unicode MS"/>
          <w:rtl w:val="0"/>
        </w:rPr>
        <w:t>5</w:t>
      </w:r>
      <w:r>
        <w:rPr/>
        <w:fldChar w:fldCharType="end" w:fldLock="0"/>
      </w:r>
    </w:p>
    <w:p>
      <w:pPr>
        <w:pStyle w:val="TOC 2"/>
      </w:pPr>
      <w:r>
        <w:rPr>
          <w:rFonts w:cs="Arial Unicode MS" w:eastAsia="Arial Unicode MS"/>
          <w:rtl w:val="0"/>
        </w:rPr>
        <w:t>2.3 Specific objectives</w:t>
        <w:tab/>
      </w:r>
      <w:r>
        <w:rPr/>
        <w:fldChar w:fldCharType="begin" w:fldLock="0"/>
      </w:r>
      <w:r>
        <w:instrText xml:space="preserve"> PAGEREF _Toc6 \h </w:instrText>
      </w:r>
      <w:r>
        <w:rPr/>
        <w:fldChar w:fldCharType="separate" w:fldLock="0"/>
      </w:r>
      <w:r>
        <w:rPr>
          <w:rFonts w:cs="Arial Unicode MS" w:eastAsia="Arial Unicode MS"/>
          <w:rtl w:val="0"/>
        </w:rPr>
        <w:t>5</w:t>
      </w:r>
      <w:r>
        <w:rPr/>
        <w:fldChar w:fldCharType="end" w:fldLock="0"/>
      </w:r>
    </w:p>
    <w:p>
      <w:pPr>
        <w:pStyle w:val="TOC 2"/>
      </w:pPr>
      <w:r>
        <w:rPr>
          <w:rFonts w:cs="Arial Unicode MS" w:eastAsia="Arial Unicode MS"/>
          <w:rtl w:val="0"/>
        </w:rPr>
        <w:t>2.4 Guiding Principles</w:t>
        <w:tab/>
      </w:r>
      <w:r>
        <w:rPr/>
        <w:fldChar w:fldCharType="begin" w:fldLock="0"/>
      </w:r>
      <w:r>
        <w:instrText xml:space="preserve"> PAGEREF _Toc7 \h </w:instrText>
      </w:r>
      <w:r>
        <w:rPr/>
        <w:fldChar w:fldCharType="separate" w:fldLock="0"/>
      </w:r>
      <w:r>
        <w:rPr>
          <w:rFonts w:cs="Arial Unicode MS" w:eastAsia="Arial Unicode MS"/>
          <w:rtl w:val="0"/>
        </w:rPr>
        <w:t>6</w:t>
      </w:r>
      <w:r>
        <w:rPr/>
        <w:fldChar w:fldCharType="end" w:fldLock="0"/>
      </w:r>
    </w:p>
    <w:p>
      <w:pPr>
        <w:pStyle w:val="TOC 2"/>
      </w:pPr>
      <w:r>
        <w:rPr>
          <w:rFonts w:cs="Arial Unicode MS" w:eastAsia="Arial Unicode MS"/>
          <w:rtl w:val="0"/>
        </w:rPr>
        <w:t>2.5 GEWE in Vision 2030</w:t>
        <w:tab/>
      </w:r>
      <w:r>
        <w:rPr/>
        <w:fldChar w:fldCharType="begin" w:fldLock="0"/>
      </w:r>
      <w:r>
        <w:instrText xml:space="preserve"> PAGEREF _Toc8 \h </w:instrText>
      </w:r>
      <w:r>
        <w:rPr/>
        <w:fldChar w:fldCharType="separate" w:fldLock="0"/>
      </w:r>
      <w:r>
        <w:rPr>
          <w:rFonts w:cs="Arial Unicode MS" w:eastAsia="Arial Unicode MS"/>
          <w:rtl w:val="0"/>
        </w:rPr>
        <w:t>6</w:t>
      </w:r>
      <w:r>
        <w:rPr/>
        <w:fldChar w:fldCharType="end" w:fldLock="0"/>
      </w:r>
    </w:p>
    <w:p>
      <w:pPr>
        <w:pStyle w:val="TOC 2"/>
      </w:pPr>
      <w:r>
        <w:rPr>
          <w:rFonts w:cs="Arial Unicode MS" w:eastAsia="Arial Unicode MS"/>
          <w:rtl w:val="0"/>
        </w:rPr>
        <w:t>2.6 The Rationale for a Gender Policy</w:t>
        <w:tab/>
      </w:r>
      <w:r>
        <w:rPr/>
        <w:fldChar w:fldCharType="begin" w:fldLock="0"/>
      </w:r>
      <w:r>
        <w:instrText xml:space="preserve"> PAGEREF _Toc9 \h </w:instrText>
      </w:r>
      <w:r>
        <w:rPr/>
        <w:fldChar w:fldCharType="separate" w:fldLock="0"/>
      </w:r>
      <w:r>
        <w:rPr>
          <w:rFonts w:cs="Arial Unicode MS" w:eastAsia="Arial Unicode MS"/>
          <w:rtl w:val="0"/>
        </w:rPr>
        <w:t>7</w:t>
      </w:r>
      <w:r>
        <w:rPr/>
        <w:fldChar w:fldCharType="end" w:fldLock="0"/>
      </w:r>
    </w:p>
    <w:p>
      <w:pPr>
        <w:pStyle w:val="TOC 2"/>
        <w:numPr>
          <w:ilvl w:val="0"/>
          <w:numId w:val="4"/>
        </w:numPr>
      </w:pPr>
      <w:r>
        <w:rPr>
          <w:rFonts w:cs="Arial Unicode MS" w:eastAsia="Arial Unicode MS"/>
          <w:rtl w:val="0"/>
        </w:rPr>
        <w:t>POLICY COMMITMENTS, ACTIONS, AND STRATEGIES</w:t>
        <w:tab/>
      </w:r>
      <w:r>
        <w:rPr/>
        <w:fldChar w:fldCharType="begin" w:fldLock="0"/>
      </w:r>
      <w:r>
        <w:instrText xml:space="preserve"> PAGEREF _Toc10 \h </w:instrText>
      </w:r>
      <w:r>
        <w:rPr/>
        <w:fldChar w:fldCharType="separate" w:fldLock="0"/>
      </w:r>
      <w:r>
        <w:rPr>
          <w:rFonts w:cs="Arial Unicode MS" w:eastAsia="Arial Unicode MS"/>
          <w:rtl w:val="0"/>
        </w:rPr>
        <w:t>9</w:t>
      </w:r>
      <w:r>
        <w:rPr/>
        <w:fldChar w:fldCharType="end" w:fldLock="0"/>
      </w:r>
    </w:p>
    <w:p>
      <w:pPr>
        <w:pStyle w:val="TOC 2"/>
      </w:pPr>
      <w:r>
        <w:rPr>
          <w:rFonts w:cs="Arial Unicode MS" w:eastAsia="Arial Unicode MS"/>
          <w:rtl w:val="0"/>
        </w:rPr>
        <w:t>3.1 Thematic Issues and Migori Government Commitment</w:t>
        <w:tab/>
      </w:r>
      <w:r>
        <w:rPr/>
        <w:fldChar w:fldCharType="begin" w:fldLock="0"/>
      </w:r>
      <w:r>
        <w:instrText xml:space="preserve"> PAGEREF _Toc11 \h </w:instrText>
      </w:r>
      <w:r>
        <w:rPr/>
        <w:fldChar w:fldCharType="separate" w:fldLock="0"/>
      </w:r>
      <w:r>
        <w:rPr>
          <w:rFonts w:cs="Arial Unicode MS" w:eastAsia="Arial Unicode MS"/>
          <w:rtl w:val="0"/>
        </w:rPr>
        <w:t>9</w:t>
      </w:r>
      <w:r>
        <w:rPr/>
        <w:fldChar w:fldCharType="end" w:fldLock="0"/>
      </w:r>
    </w:p>
    <w:p>
      <w:pPr>
        <w:pStyle w:val="TOC 2"/>
      </w:pPr>
      <w:r>
        <w:rPr>
          <w:rFonts w:cs="Arial Unicode MS" w:eastAsia="Arial Unicode MS"/>
          <w:rtl w:val="0"/>
        </w:rPr>
        <w:t>3.2 Policy Actions</w:t>
        <w:tab/>
      </w:r>
      <w:r>
        <w:rPr/>
        <w:fldChar w:fldCharType="begin" w:fldLock="0"/>
      </w:r>
      <w:r>
        <w:instrText xml:space="preserve"> PAGEREF _Toc12 \h </w:instrText>
      </w:r>
      <w:r>
        <w:rPr/>
        <w:fldChar w:fldCharType="separate" w:fldLock="0"/>
      </w:r>
      <w:r>
        <w:rPr>
          <w:rFonts w:cs="Arial Unicode MS" w:eastAsia="Arial Unicode MS"/>
          <w:rtl w:val="0"/>
        </w:rPr>
        <w:t>17</w:t>
      </w:r>
      <w:r>
        <w:rPr/>
        <w:fldChar w:fldCharType="end" w:fldLock="0"/>
      </w:r>
    </w:p>
    <w:p>
      <w:pPr>
        <w:pStyle w:val="TOC 1"/>
        <w:numPr>
          <w:ilvl w:val="0"/>
          <w:numId w:val="5"/>
        </w:numPr>
      </w:pPr>
      <w:r>
        <w:rPr>
          <w:rFonts w:cs="Arial Unicode MS" w:eastAsia="Arial Unicode MS"/>
          <w:rtl w:val="0"/>
        </w:rPr>
        <w:t>POLICY IMPLEMENTATION MONITORING AND EVALUATION</w:t>
        <w:tab/>
      </w:r>
      <w:r>
        <w:rPr/>
        <w:fldChar w:fldCharType="begin" w:fldLock="0"/>
      </w:r>
      <w:r>
        <w:instrText xml:space="preserve"> PAGEREF _Toc13 \h </w:instrText>
      </w:r>
      <w:r>
        <w:rPr/>
        <w:fldChar w:fldCharType="separate" w:fldLock="0"/>
      </w:r>
      <w:r>
        <w:rPr>
          <w:rFonts w:cs="Arial Unicode MS" w:eastAsia="Arial Unicode MS"/>
          <w:rtl w:val="0"/>
        </w:rPr>
        <w:t>30</w:t>
      </w:r>
      <w:r>
        <w:rPr/>
        <w:fldChar w:fldCharType="end" w:fldLock="0"/>
      </w:r>
    </w:p>
    <w:p>
      <w:pPr>
        <w:pStyle w:val="TOC 2"/>
      </w:pPr>
      <w:r>
        <w:rPr>
          <w:rFonts w:cs="Arial Unicode MS" w:eastAsia="Arial Unicode MS"/>
          <w:rtl w:val="0"/>
        </w:rPr>
        <w:t>4.1 Key Stakeholders Tasked with Implementation of the Migori County Gender Policy</w:t>
        <w:tab/>
      </w:r>
      <w:r>
        <w:rPr/>
        <w:fldChar w:fldCharType="begin" w:fldLock="0"/>
      </w:r>
      <w:r>
        <w:instrText xml:space="preserve"> PAGEREF _Toc14 \h </w:instrText>
      </w:r>
      <w:r>
        <w:rPr/>
        <w:fldChar w:fldCharType="separate" w:fldLock="0"/>
      </w:r>
      <w:r>
        <w:rPr>
          <w:rFonts w:cs="Arial Unicode MS" w:eastAsia="Arial Unicode MS"/>
          <w:rtl w:val="0"/>
        </w:rPr>
        <w:t>30</w:t>
      </w:r>
      <w:r>
        <w:rPr/>
        <w:fldChar w:fldCharType="end" w:fldLock="0"/>
      </w:r>
    </w:p>
    <w:p>
      <w:pPr>
        <w:pStyle w:val="TOC 2"/>
      </w:pPr>
      <w:r>
        <w:rPr>
          <w:rFonts w:cs="Arial Unicode MS" w:eastAsia="Arial Unicode MS"/>
          <w:rtl w:val="0"/>
        </w:rPr>
        <w:t>4.2 Monitoring and Evaluation Framework</w:t>
        <w:tab/>
      </w:r>
      <w:r>
        <w:rPr/>
        <w:fldChar w:fldCharType="begin" w:fldLock="0"/>
      </w:r>
      <w:r>
        <w:instrText xml:space="preserve"> PAGEREF _Toc15 \h </w:instrText>
      </w:r>
      <w:r>
        <w:rPr/>
        <w:fldChar w:fldCharType="separate" w:fldLock="0"/>
      </w:r>
      <w:r>
        <w:rPr>
          <w:rFonts w:cs="Arial Unicode MS" w:eastAsia="Arial Unicode MS"/>
          <w:rtl w:val="0"/>
        </w:rPr>
        <w:t>30</w:t>
      </w:r>
      <w:r>
        <w:rPr/>
        <w:fldChar w:fldCharType="end" w:fldLock="0"/>
      </w:r>
    </w:p>
    <w:p>
      <w:pPr>
        <w:pStyle w:val="TOC 2"/>
      </w:pPr>
      <w:r>
        <w:rPr>
          <w:rFonts w:cs="Arial Unicode MS" w:eastAsia="Arial Unicode MS"/>
          <w:rtl w:val="0"/>
        </w:rPr>
        <w:t>4.3 Policy Review</w:t>
        <w:tab/>
      </w:r>
      <w:r>
        <w:rPr/>
        <w:fldChar w:fldCharType="begin" w:fldLock="0"/>
      </w:r>
      <w:r>
        <w:instrText xml:space="preserve"> PAGEREF _Toc16 \h </w:instrText>
      </w:r>
      <w:r>
        <w:rPr/>
        <w:fldChar w:fldCharType="separate" w:fldLock="0"/>
      </w:r>
      <w:r>
        <w:rPr>
          <w:rFonts w:cs="Arial Unicode MS" w:eastAsia="Arial Unicode MS"/>
          <w:rtl w:val="0"/>
        </w:rPr>
        <w:t>30</w:t>
      </w:r>
      <w:r>
        <w:rPr/>
        <w:fldChar w:fldCharType="end" w:fldLock="0"/>
      </w:r>
    </w:p>
    <w:p>
      <w:pPr>
        <w:pStyle w:val="Body"/>
        <w:rPr>
          <w:rFonts w:ascii="Times New Roman" w:cs="Times New Roman" w:hAnsi="Times New Roman" w:eastAsia="Times New Roman"/>
          <w:sz w:val="24"/>
          <w:szCs w:val="24"/>
        </w:rPr>
      </w:pPr>
      <w:r>
        <w:rPr>
          <w:rFonts w:ascii="Times New Roman" w:cs="Times New Roman" w:hAnsi="Times New Roman" w:eastAsia="Times New Roman"/>
          <w:sz w:val="24"/>
          <w:szCs w:val="24"/>
        </w:rPr>
        <w:fldChar w:fldCharType="end" w:fldLock="0"/>
      </w:r>
    </w:p>
    <w:p>
      <w:pPr>
        <w:pStyle w:val="Body"/>
        <w:ind w:left="720" w:hanging="360"/>
      </w:pPr>
    </w:p>
    <w:p>
      <w:pPr>
        <w:pStyle w:val="Heading"/>
        <w:ind w:left="720" w:firstLine="0"/>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Heading"/>
        <w:numPr>
          <w:ilvl w:val="0"/>
          <w:numId w:val="7"/>
        </w:numPr>
        <w:bidi w:val="0"/>
        <w:ind w:right="0"/>
        <w:jc w:val="center"/>
        <w:rPr>
          <w:b w:val="1"/>
          <w:bCs w:val="1"/>
          <w:rtl w:val="0"/>
        </w:rPr>
      </w:pPr>
      <w:bookmarkStart w:name="_Toc" w:id="0"/>
      <w:r>
        <w:rPr>
          <w:b w:val="1"/>
          <w:bCs w:val="1"/>
          <w:rtl w:val="0"/>
          <w:lang w:val="en-US"/>
        </w:rPr>
        <w:t>INTRODUCTION</w:t>
      </w:r>
      <w:bookmarkEnd w:id="0"/>
    </w:p>
    <w:p>
      <w:pPr>
        <w:pStyle w:val="Heading 2"/>
        <w:jc w:val="center"/>
        <w:rPr>
          <w:b w:val="1"/>
          <w:bCs w:val="1"/>
        </w:rPr>
      </w:pPr>
      <w:bookmarkStart w:name="_Toc1" w:id="1"/>
      <w:r>
        <w:rPr>
          <w:b w:val="1"/>
          <w:bCs w:val="1"/>
          <w:rtl w:val="0"/>
          <w:lang w:val="en-US"/>
        </w:rPr>
        <w:t>1.1 The Constitutional Basis for Gender Equality and Empowerment</w:t>
      </w:r>
      <w:bookmarkEnd w:id="1"/>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Article 1 of Kenya's 2010 Constitution plainly declares that sovereignty belongs to and is vested in the people of Kenya. People of Kenya include both male and female natural persons. Furthermore, the Constitution empowers Kenya to accept any general standards of international law, and any treaty or convention approved by Kenya becomes part of Kenyan law (Article 2(5) and 2(6)). As a result, under article 21(4), the State is required to establish and execute legislation to uphold its international commitments in respect of human rights and fundamental freedoms. As a person and civic obligation, everyone is required to respect, uphold, and defend Kenya's Constitution Article. 3(1).</w:t>
      </w:r>
      <w:r>
        <w:rPr>
          <w:rtl w:val="0"/>
        </w:rPr>
        <w:t xml:space="preserve"> </w:t>
      </w:r>
      <w:r>
        <w:rPr>
          <w:rFonts w:ascii="Times New Roman" w:hAnsi="Times New Roman"/>
          <w:sz w:val="24"/>
          <w:szCs w:val="24"/>
          <w:rtl w:val="0"/>
          <w:lang w:val="en-US"/>
        </w:rPr>
        <w:t>All international instruments ratified by Kenya on gender equality and women's empowerment must therefore be domesticated and effectively entrenched in our law.</w:t>
      </w:r>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Kenya has put in place national ideals and principles of governance, which include (b) human dignity, equity, social justice, inclusion, equality, human rights, non-discrimination, and protection of the marginalised, as stated in Art. 10(2)(b). The mentioned governance ideals and principles are critical in decreasing gender disparities and inequities and supporting the empowerment of girls, women, boys, and men.</w:t>
      </w:r>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The Bill of Rights is outlined in Chapter Four of the Constitution of Kenya, (2010). Art. 21 details how rights and fundamental freedoms are implemented and emphasises that "it is a fundamental duty of the State and every State organ to observe, respect, protect, promote, and fulfil the rights and fundamental freedoms in the Bill of Rights."</w:t>
      </w:r>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Furthermore, human dignity is at the heart of human rights, as stated in CoK (2010) Art. 28: "Every person has inherent dignity and the right to have that dignity respected and protected." As a result, having laws, rules, regulations, and institutions that strive to establish a comprehensive and dignified society is critical. Furthermore, Economic and Social Rights, as defined in Art. 43 (1), are at the heart of human rights, and everyone has the right to</w:t>
      </w:r>
      <w:r>
        <w:rPr>
          <w:rFonts w:ascii="Times New Roman" w:hAnsi="Times New Roman" w:hint="default"/>
          <w:sz w:val="24"/>
          <w:szCs w:val="24"/>
          <w:rtl w:val="0"/>
          <w:lang w:val="en-US"/>
        </w:rPr>
        <w:t>—</w:t>
      </w:r>
    </w:p>
    <w:p>
      <w:pPr>
        <w:pStyle w:val="List Paragraph"/>
        <w:numPr>
          <w:ilvl w:val="0"/>
          <w:numId w:val="9"/>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the highest attainable standard of health, including the right to health care services, including reproductive health care; </w:t>
      </w:r>
    </w:p>
    <w:p>
      <w:pPr>
        <w:pStyle w:val="List Paragraph"/>
        <w:numPr>
          <w:ilvl w:val="0"/>
          <w:numId w:val="9"/>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accessible and adequate housing and reasonable sanitation standards; </w:t>
      </w:r>
    </w:p>
    <w:p>
      <w:pPr>
        <w:pStyle w:val="List Paragraph"/>
        <w:numPr>
          <w:ilvl w:val="0"/>
          <w:numId w:val="9"/>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be free from hunger and to have adequate food of acceptable quality; </w:t>
      </w:r>
    </w:p>
    <w:p>
      <w:pPr>
        <w:pStyle w:val="List Paragraph"/>
        <w:numPr>
          <w:ilvl w:val="0"/>
          <w:numId w:val="9"/>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clean and safe water in adequate quantities; </w:t>
      </w:r>
    </w:p>
    <w:p>
      <w:pPr>
        <w:pStyle w:val="List Paragraph"/>
        <w:numPr>
          <w:ilvl w:val="0"/>
          <w:numId w:val="9"/>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social security; and </w:t>
      </w:r>
    </w:p>
    <w:p>
      <w:pPr>
        <w:pStyle w:val="List Paragraph"/>
        <w:numPr>
          <w:ilvl w:val="0"/>
          <w:numId w:val="9"/>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education. </w:t>
      </w:r>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(2) No one shall be refused emergency medical attention. The state is required by Art 43(3) to provide such people and their dependents with social security. The State is also required to pursue legislative, policy, and other measures, including the establishment of standards, to achieve the progressive realisation of the rights protected by Article 43. Furthermore, it is the responsibility of all State organs and public officers to address the needs of vulnerable groups in society, such as women, the elderly, people with disabilities, children, youth, members of minority or marginalised communities, and members of specific ethnic, religious, or cultural communities.</w:t>
      </w:r>
      <w:r>
        <w:rPr>
          <w:rtl w:val="0"/>
        </w:rPr>
        <w:t xml:space="preserve"> </w:t>
      </w:r>
      <w:r>
        <w:rPr>
          <w:rFonts w:ascii="Times New Roman" w:hAnsi="Times New Roman"/>
          <w:sz w:val="24"/>
          <w:szCs w:val="24"/>
          <w:rtl w:val="0"/>
          <w:lang w:val="en-US"/>
        </w:rPr>
        <w:t>Additionally, Article 27 of the CoK 2010 provides for equality before the law and the right of every person to equal protection and benefit from the law. Discrimination of any kind, whether direct or indirect, by the state and individuals is prohibited and illegal. The State is expected to implement legislation and other measures, such as affirmative action programmes and policies, to correct any disadvantages suffered by individuals or groups as a result of past discrimination and to ensure that the rights granted by Art. 27 are realised.</w:t>
      </w:r>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Other gains for women from the 2010 Constitution include: </w:t>
      </w:r>
    </w:p>
    <w:p>
      <w:pPr>
        <w:pStyle w:val="List Paragraph"/>
        <w:numPr>
          <w:ilvl w:val="0"/>
          <w:numId w:val="11"/>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Equality in leadership, with 33% as the critical mass preferred for women leadership;</w:t>
      </w:r>
    </w:p>
    <w:p>
      <w:pPr>
        <w:pStyle w:val="List Paragraph"/>
        <w:numPr>
          <w:ilvl w:val="0"/>
          <w:numId w:val="11"/>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Equality in marriage; </w:t>
      </w:r>
    </w:p>
    <w:p>
      <w:pPr>
        <w:pStyle w:val="List Paragraph"/>
        <w:numPr>
          <w:ilvl w:val="0"/>
          <w:numId w:val="11"/>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Equality in employment; </w:t>
      </w:r>
    </w:p>
    <w:p>
      <w:pPr>
        <w:pStyle w:val="List Paragraph"/>
        <w:numPr>
          <w:ilvl w:val="0"/>
          <w:numId w:val="11"/>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Equality in access to education; </w:t>
      </w:r>
    </w:p>
    <w:p>
      <w:pPr>
        <w:pStyle w:val="List Paragraph"/>
        <w:numPr>
          <w:ilvl w:val="0"/>
          <w:numId w:val="11"/>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All discriminatory customary practises are prohibited;</w:t>
      </w:r>
    </w:p>
    <w:p>
      <w:pPr>
        <w:pStyle w:val="List Paragraph"/>
        <w:numPr>
          <w:ilvl w:val="0"/>
          <w:numId w:val="11"/>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Matrimonial property is protected;</w:t>
      </w:r>
    </w:p>
    <w:p>
      <w:pPr>
        <w:pStyle w:val="List Paragraph"/>
        <w:numPr>
          <w:ilvl w:val="0"/>
          <w:numId w:val="11"/>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Women's rights to inheritance and own land are guaranteed; </w:t>
      </w:r>
    </w:p>
    <w:p>
      <w:pPr>
        <w:pStyle w:val="List Paragraph"/>
        <w:numPr>
          <w:ilvl w:val="0"/>
          <w:numId w:val="11"/>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Equal parental responsibility; and </w:t>
      </w:r>
    </w:p>
    <w:p>
      <w:pPr>
        <w:pStyle w:val="List Paragraph"/>
        <w:numPr>
          <w:ilvl w:val="0"/>
          <w:numId w:val="11"/>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Requirement for both public and Kenya has made progress towards gender equality, but much more work still to be done to make the legal framework a reality.</w:t>
      </w:r>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The Convention on the Elimination of All Forms of Discrimination Against Women </w:t>
      </w:r>
      <w:r>
        <w:rPr>
          <w:rFonts w:ascii="Times New Roman" w:hAnsi="Times New Roman"/>
          <w:sz w:val="24"/>
          <w:szCs w:val="24"/>
          <w:rtl w:val="0"/>
          <w:lang w:val="en-US"/>
        </w:rPr>
        <w:t xml:space="preserve">(CEDAW) </w:t>
      </w:r>
      <w:r>
        <w:rPr>
          <w:rFonts w:ascii="Times New Roman" w:hAnsi="Times New Roman"/>
          <w:sz w:val="24"/>
          <w:szCs w:val="24"/>
          <w:rtl w:val="0"/>
          <w:lang w:val="en-US"/>
        </w:rPr>
        <w:t xml:space="preserve">and the Protocol to the African Charter on Human and People's Rights on the Rights of Women are two important treaties that promote women's rights. Both have been ratified by Kenya. The African Call calls for equal gender representation. The Kenyan parliament has recently passed enabling legislative frameworks that provide the Constitution more momentum for implementation. This includes the following: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the Marriage Act (No. 4 of 2014);</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 the Protection Against Domestic Violence Act (No. 21 of 2015);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the Basic Education Act;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the Matrimonial Property Act (No. 49 of 2013);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the Micro and Small Enterprises Act (No. 55 of 2012);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the Employment and Labour Relations Court Act; and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the Treaty Making Ratification Act 2012;</w:t>
      </w:r>
      <w:r>
        <w:rPr>
          <w:rFonts w:ascii="Calibri" w:hAnsi="Calibri"/>
          <w:sz w:val="22"/>
          <w:szCs w:val="22"/>
          <w:rtl w:val="0"/>
          <w:lang w:val="en-US"/>
        </w:rPr>
        <w:t xml:space="preserve">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the prohibition of female Genital Mutilation Act 2011;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Counter Trafficking in Persons Act 2010;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Sexual offenses Act no 3 of 2006;</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Citizenship and Immigration Act, 2011;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Law of Succession Act, 2012;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National Gender and Equality Act No 15 of 2011;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Health Act (2017),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Children</w:t>
      </w:r>
      <w:r>
        <w:rPr>
          <w:rFonts w:ascii="Times New Roman" w:hAnsi="Times New Roman" w:hint="default"/>
          <w:sz w:val="24"/>
          <w:szCs w:val="24"/>
          <w:rtl w:val="0"/>
          <w:lang w:val="en-US"/>
        </w:rPr>
        <w:t>’</w:t>
      </w:r>
      <w:r>
        <w:rPr>
          <w:rFonts w:ascii="Times New Roman" w:hAnsi="Times New Roman"/>
          <w:sz w:val="24"/>
          <w:szCs w:val="24"/>
          <w:rtl w:val="0"/>
          <w:lang w:val="en-US"/>
        </w:rPr>
        <w:t xml:space="preserve">s Act no.8 of 2001 (under new legislation in parliament); and </w:t>
      </w:r>
    </w:p>
    <w:p>
      <w:pPr>
        <w:pStyle w:val="List Paragraph"/>
        <w:numPr>
          <w:ilvl w:val="0"/>
          <w:numId w:val="13"/>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the Social Assistance Act No.24 of 2013.</w:t>
      </w:r>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Nationally, there is a robustly developed gender-responsive policy framework: </w:t>
      </w:r>
    </w:p>
    <w:p>
      <w:pPr>
        <w:pStyle w:val="List Paragraph"/>
        <w:numPr>
          <w:ilvl w:val="0"/>
          <w:numId w:val="15"/>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National Gender and Development Policy 2000, which is currently being reviewed to align it with the new constitution;</w:t>
      </w:r>
    </w:p>
    <w:p>
      <w:pPr>
        <w:pStyle w:val="List Paragraph"/>
        <w:numPr>
          <w:ilvl w:val="0"/>
          <w:numId w:val="15"/>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Kenya Vision 2030, the government's blueprint on the development agenda, and its Medium Term Plans (2008-2012, 2013-2017, and 2018-2028); </w:t>
      </w:r>
    </w:p>
    <w:p>
      <w:pPr>
        <w:pStyle w:val="List Paragraph"/>
        <w:numPr>
          <w:ilvl w:val="0"/>
          <w:numId w:val="15"/>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Sessional Paper No 2 on Gender Equality and Development 2006; </w:t>
      </w:r>
    </w:p>
    <w:p>
      <w:pPr>
        <w:pStyle w:val="List Paragraph"/>
        <w:numPr>
          <w:ilvl w:val="0"/>
          <w:numId w:val="15"/>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Kenya Economic Recovery Strategy for Wealth Creation (2003-2007); </w:t>
      </w:r>
    </w:p>
    <w:p>
      <w:pPr>
        <w:pStyle w:val="List Paragraph"/>
        <w:numPr>
          <w:ilvl w:val="0"/>
          <w:numId w:val="15"/>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National Land policy; </w:t>
      </w:r>
    </w:p>
    <w:p>
      <w:pPr>
        <w:pStyle w:val="List Paragraph"/>
        <w:numPr>
          <w:ilvl w:val="0"/>
          <w:numId w:val="15"/>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National Policy for Response to Gender-Based Violence; and </w:t>
      </w:r>
    </w:p>
    <w:p>
      <w:pPr>
        <w:pStyle w:val="List Paragraph"/>
        <w:numPr>
          <w:ilvl w:val="0"/>
          <w:numId w:val="15"/>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National Policy for the Abandonment of Female Genital Mutilation.</w:t>
      </w:r>
    </w:p>
    <w:p>
      <w:pPr>
        <w:pStyle w:val="Body"/>
        <w:ind w:left="360" w:firstLine="0"/>
        <w:jc w:val="both"/>
        <w:rPr>
          <w:rFonts w:ascii="Times New Roman" w:cs="Times New Roman" w:hAnsi="Times New Roman" w:eastAsia="Times New Roman"/>
          <w:sz w:val="24"/>
          <w:szCs w:val="24"/>
        </w:rPr>
      </w:pPr>
    </w:p>
    <w:p>
      <w:pPr>
        <w:pStyle w:val="Heading 2"/>
        <w:numPr>
          <w:ilvl w:val="1"/>
          <w:numId w:val="16"/>
        </w:numPr>
        <w:bidi w:val="0"/>
        <w:ind w:right="0"/>
        <w:jc w:val="center"/>
        <w:rPr>
          <w:b w:val="1"/>
          <w:bCs w:val="1"/>
          <w:rtl w:val="0"/>
        </w:rPr>
      </w:pPr>
      <w:bookmarkStart w:name="_Toc2" w:id="2"/>
      <w:r>
        <w:rPr>
          <w:b w:val="1"/>
          <w:bCs w:val="1"/>
          <w:rtl w:val="0"/>
          <w:lang w:val="en-US"/>
        </w:rPr>
        <w:t>The Domestication of the Gender Policy Framework in Migori County</w:t>
      </w:r>
      <w:bookmarkEnd w:id="2"/>
    </w:p>
    <w:p>
      <w:pPr>
        <w:pStyle w:val="Body"/>
        <w:ind w:left="360" w:firstLine="0"/>
        <w:jc w:val="both"/>
        <w:rPr>
          <w:rFonts w:ascii="Times New Roman" w:cs="Times New Roman" w:hAnsi="Times New Roman" w:eastAsia="Times New Roman"/>
          <w:sz w:val="24"/>
          <w:szCs w:val="24"/>
        </w:rPr>
      </w:pPr>
      <w:r>
        <w:rPr>
          <w:rFonts w:ascii="Times New Roman" w:hAnsi="Times New Roman"/>
          <w:sz w:val="24"/>
          <w:szCs w:val="24"/>
          <w:rtl w:val="0"/>
          <w:lang w:val="en-US"/>
        </w:rPr>
        <w:t>The Migori County Government</w:t>
      </w:r>
      <w:r>
        <w:rPr>
          <w:rFonts w:ascii="Times New Roman" w:hAnsi="Times New Roman" w:hint="default"/>
          <w:sz w:val="24"/>
          <w:szCs w:val="24"/>
          <w:rtl w:val="0"/>
          <w:lang w:val="en-US"/>
        </w:rPr>
        <w:t>’</w:t>
      </w:r>
      <w:r>
        <w:rPr>
          <w:rFonts w:ascii="Times New Roman" w:hAnsi="Times New Roman"/>
          <w:sz w:val="24"/>
          <w:szCs w:val="24"/>
          <w:rtl w:val="0"/>
          <w:lang w:val="en-US"/>
        </w:rPr>
        <w:t xml:space="preserve">s Department of Education, Youth, Sports, Gender, Culture, and Social Services developed the Migori County Gender Policy 2021-2025. The draft report was discussed </w:t>
      </w:r>
      <w:r>
        <w:rPr>
          <w:rFonts w:ascii="Times New Roman" w:hAnsi="Times New Roman"/>
          <w:sz w:val="24"/>
          <w:szCs w:val="24"/>
          <w:rtl w:val="0"/>
          <w:lang w:val="en-US"/>
        </w:rPr>
        <w:t xml:space="preserve">in consultation with various </w:t>
      </w:r>
      <w:r>
        <w:rPr>
          <w:rFonts w:ascii="Times New Roman" w:hAnsi="Times New Roman"/>
          <w:sz w:val="24"/>
          <w:szCs w:val="24"/>
          <w:rtl w:val="0"/>
          <w:lang w:val="en-US"/>
        </w:rPr>
        <w:t xml:space="preserve">stakeholders within the County Government and </w:t>
      </w:r>
      <w:r>
        <w:rPr>
          <w:rFonts w:ascii="Times New Roman" w:hAnsi="Times New Roman"/>
          <w:sz w:val="24"/>
          <w:szCs w:val="24"/>
          <w:rtl w:val="0"/>
          <w:lang w:val="en-US"/>
        </w:rPr>
        <w:t xml:space="preserve">with </w:t>
      </w:r>
      <w:r>
        <w:rPr>
          <w:rFonts w:ascii="Times New Roman" w:hAnsi="Times New Roman"/>
          <w:sz w:val="24"/>
          <w:szCs w:val="24"/>
          <w:rtl w:val="0"/>
          <w:lang w:val="en-US"/>
        </w:rPr>
        <w:t xml:space="preserve">other development partners. The County Assembly played a critical role in debating, enriching the draft, and subsequently </w:t>
      </w:r>
      <w:r>
        <w:rPr>
          <w:rFonts w:ascii="Times New Roman" w:hAnsi="Times New Roman"/>
          <w:sz w:val="24"/>
          <w:szCs w:val="24"/>
          <w:rtl w:val="0"/>
          <w:lang w:val="en-US"/>
        </w:rPr>
        <w:t>assenting it for ratification</w:t>
      </w:r>
      <w:r>
        <w:rPr>
          <w:rFonts w:ascii="Times New Roman" w:hAnsi="Times New Roman"/>
          <w:sz w:val="24"/>
          <w:szCs w:val="24"/>
          <w:rtl w:val="0"/>
        </w:rPr>
        <w:t>.</w:t>
      </w:r>
    </w:p>
    <w:p>
      <w:pPr>
        <w:pStyle w:val="Body"/>
        <w:ind w:left="360" w:firstLine="0"/>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This policy aims to guarantee that men and women in Migori County share equally in the </w:t>
      </w:r>
      <w:r>
        <w:rPr>
          <w:rFonts w:ascii="Times New Roman" w:hAnsi="Times New Roman"/>
          <w:sz w:val="24"/>
          <w:szCs w:val="24"/>
          <w:rtl w:val="0"/>
          <w:lang w:val="en-US"/>
        </w:rPr>
        <w:t xml:space="preserve"> access of </w:t>
      </w:r>
      <w:r>
        <w:rPr>
          <w:rFonts w:ascii="Times New Roman" w:hAnsi="Times New Roman"/>
          <w:sz w:val="24"/>
          <w:szCs w:val="24"/>
          <w:rtl w:val="0"/>
          <w:lang w:val="en-US"/>
        </w:rPr>
        <w:t>county's resources. By addressing the current gender disparities, it seeks to ensure the achievement of gender equality in the development process.</w:t>
      </w:r>
    </w:p>
    <w:p>
      <w:pPr>
        <w:pStyle w:val="Body"/>
        <w:ind w:left="360" w:firstLine="0"/>
        <w:jc w:val="both"/>
        <w:rPr>
          <w:rFonts w:ascii="Times New Roman" w:cs="Times New Roman" w:hAnsi="Times New Roman" w:eastAsia="Times New Roman"/>
          <w:outline w:val="0"/>
          <w:color w:val="000000"/>
          <w:sz w:val="24"/>
          <w:szCs w:val="24"/>
          <w:u w:color="000000"/>
          <w14:textFill>
            <w14:solidFill>
              <w14:srgbClr w14:val="000000"/>
            </w14:solidFill>
          </w14:textFill>
        </w:rPr>
      </w:pPr>
      <w:r>
        <w:rPr>
          <w:rFonts w:ascii="Times New Roman" w:hAnsi="Times New Roman"/>
          <w:sz w:val="24"/>
          <w:szCs w:val="24"/>
          <w:rtl w:val="0"/>
          <w:lang w:val="en-US"/>
        </w:rPr>
        <w:t xml:space="preserve">Additionally, it guarantees equal opportunity for men and women to fully participate, make their best contributions, and fairly profit from county development. A number of issues faced by women, men, youth, boys, and girls in our county </w:t>
      </w:r>
      <w:r>
        <w:rPr>
          <w:rFonts w:ascii="Times New Roman" w:hAnsi="Times New Roman"/>
          <w:sz w:val="24"/>
          <w:szCs w:val="24"/>
          <w:rtl w:val="0"/>
          <w:lang w:val="en-US"/>
        </w:rPr>
        <w:t>necessitated</w:t>
      </w:r>
      <w:r>
        <w:rPr>
          <w:rFonts w:ascii="Times New Roman" w:hAnsi="Times New Roman"/>
          <w:sz w:val="24"/>
          <w:szCs w:val="24"/>
          <w:rtl w:val="0"/>
          <w:lang w:val="en-US"/>
        </w:rPr>
        <w:t xml:space="preserve"> the development of this policy, including the rise in </w:t>
      </w:r>
      <w:r>
        <w:rPr>
          <w:rFonts w:ascii="Times New Roman" w:hAnsi="Times New Roman"/>
          <w:sz w:val="24"/>
          <w:szCs w:val="24"/>
          <w:rtl w:val="0"/>
          <w:lang w:val="en-US"/>
        </w:rPr>
        <w:t xml:space="preserve">sexual and </w:t>
      </w:r>
      <w:r>
        <w:rPr>
          <w:rFonts w:ascii="Times New Roman" w:hAnsi="Times New Roman"/>
          <w:sz w:val="24"/>
          <w:szCs w:val="24"/>
          <w:rtl w:val="0"/>
          <w:lang w:val="en-US"/>
        </w:rPr>
        <w:t xml:space="preserve">gender-based violence (FGM, child marriage, child labour, wife battering, and beading), drug abuse and trafficking, radicalization, recruitment into terrorism, gender disparities in economic and decision-making positions and newly emerging triple threat health issues that primarily affect women </w:t>
      </w:r>
      <w:r>
        <w:rPr>
          <w:rFonts w:ascii="Times New Roman" w:hAnsi="Times New Roman"/>
          <w:outline w:val="0"/>
          <w:color w:val="000000"/>
          <w:sz w:val="24"/>
          <w:szCs w:val="24"/>
          <w:u w:color="000000"/>
          <w:rtl w:val="0"/>
          <w:lang w:val="en-US"/>
          <w14:textFill>
            <w14:solidFill>
              <w14:srgbClr w14:val="000000"/>
            </w14:solidFill>
          </w14:textFill>
        </w:rPr>
        <w:t>but also men</w:t>
      </w:r>
      <w:r>
        <w:rPr>
          <w:rFonts w:ascii="Times New Roman" w:hAnsi="Times New Roman"/>
          <w:outline w:val="0"/>
          <w:color w:val="000000"/>
          <w:sz w:val="24"/>
          <w:szCs w:val="24"/>
          <w:u w:color="000000"/>
          <w:rtl w:val="0"/>
          <w:lang w:val="en-US"/>
          <w14:textFill>
            <w14:solidFill>
              <w14:srgbClr w14:val="000000"/>
            </w14:solidFill>
          </w14:textFill>
        </w:rPr>
        <w:t>;</w:t>
      </w:r>
      <w:r>
        <w:rPr>
          <w:rFonts w:ascii="Times New Roman" w:hAnsi="Times New Roman"/>
          <w:outline w:val="0"/>
          <w:color w:val="000000"/>
          <w:sz w:val="24"/>
          <w:szCs w:val="24"/>
          <w:u w:color="000000"/>
          <w:rtl w:val="0"/>
          <w:lang w:val="en-US"/>
          <w14:textFill>
            <w14:solidFill>
              <w14:srgbClr w14:val="000000"/>
            </w14:solidFill>
          </w14:textFill>
        </w:rPr>
        <w:t xml:space="preserve"> teenage pregnancies and HIV infections.</w:t>
      </w:r>
    </w:p>
    <w:p>
      <w:pPr>
        <w:pStyle w:val="Body"/>
        <w:ind w:left="360" w:firstLine="0"/>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In order to provide suitable guidelines, </w:t>
      </w:r>
      <w:r>
        <w:rPr>
          <w:rFonts w:ascii="Times New Roman" w:hAnsi="Times New Roman"/>
          <w:sz w:val="24"/>
          <w:szCs w:val="24"/>
          <w:rtl w:val="0"/>
          <w:lang w:val="en-US"/>
        </w:rPr>
        <w:t xml:space="preserve">response </w:t>
      </w:r>
      <w:r>
        <w:rPr>
          <w:rFonts w:ascii="Times New Roman" w:hAnsi="Times New Roman"/>
          <w:sz w:val="24"/>
          <w:szCs w:val="24"/>
          <w:rtl w:val="0"/>
          <w:lang w:val="en-US"/>
        </w:rPr>
        <w:t>method</w:t>
      </w:r>
      <w:r>
        <w:rPr>
          <w:rFonts w:ascii="Times New Roman" w:hAnsi="Times New Roman"/>
          <w:sz w:val="24"/>
          <w:szCs w:val="24"/>
          <w:rtl w:val="0"/>
          <w:lang w:val="en-US"/>
        </w:rPr>
        <w:t>ologies</w:t>
      </w:r>
      <w:r>
        <w:rPr>
          <w:rFonts w:ascii="Times New Roman" w:hAnsi="Times New Roman"/>
          <w:sz w:val="24"/>
          <w:szCs w:val="24"/>
          <w:rtl w:val="0"/>
          <w:lang w:val="en-US"/>
        </w:rPr>
        <w:t xml:space="preserve">, and interventions for its successful implementation, the Policy analyses circumstances in many sectors from a gender perspective. </w:t>
      </w:r>
      <w:r>
        <w:rPr>
          <w:rFonts w:ascii="Times New Roman" w:hAnsi="Times New Roman"/>
          <w:sz w:val="24"/>
          <w:szCs w:val="24"/>
          <w:rtl w:val="0"/>
          <w:lang w:val="en-US"/>
        </w:rPr>
        <w:t>As a precondition for Migori county</w:t>
      </w:r>
      <w:r>
        <w:rPr>
          <w:rFonts w:ascii="Times New Roman" w:hAnsi="Times New Roman" w:hint="default"/>
          <w:sz w:val="24"/>
          <w:szCs w:val="24"/>
          <w:rtl w:val="0"/>
          <w:lang w:val="en-US"/>
        </w:rPr>
        <w:t>’</w:t>
      </w:r>
      <w:r>
        <w:rPr>
          <w:rFonts w:ascii="Times New Roman" w:hAnsi="Times New Roman"/>
          <w:sz w:val="24"/>
          <w:szCs w:val="24"/>
          <w:rtl w:val="0"/>
          <w:lang w:val="en-US"/>
        </w:rPr>
        <w:t xml:space="preserve">s equitable and sustainable socio-economic growth, Migori county government highly regards the entrenchment of Gender mainstreaming as a precondition for service delivery across all its departments. </w:t>
      </w:r>
    </w:p>
    <w:p>
      <w:pPr>
        <w:pStyle w:val="Body"/>
        <w:ind w:left="360" w:firstLine="0"/>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For appropriate monitoring, and oversight of gender equity and equality considerations, the Department of Gender, Culture and Social Services will be responsible for coordination and implementation. </w:t>
      </w:r>
      <w:r>
        <w:rPr>
          <w:rFonts w:ascii="Times New Roman" w:hAnsi="Times New Roman"/>
          <w:sz w:val="24"/>
          <w:szCs w:val="24"/>
          <w:rtl w:val="0"/>
          <w:lang w:val="en-US"/>
        </w:rPr>
        <w:t>In this regard, the Policy has emphasised the institutional architecture and legal framework that would promote w</w:t>
      </w:r>
      <w:r>
        <w:rPr>
          <w:rFonts w:ascii="Times New Roman" w:hAnsi="Times New Roman"/>
          <w:sz w:val="24"/>
          <w:szCs w:val="24"/>
          <w:rtl w:val="0"/>
          <w:lang w:val="en-US"/>
        </w:rPr>
        <w:t xml:space="preserve">holistic </w:t>
      </w:r>
      <w:r>
        <w:rPr>
          <w:rFonts w:ascii="Times New Roman" w:hAnsi="Times New Roman"/>
          <w:sz w:val="24"/>
          <w:szCs w:val="24"/>
          <w:rtl w:val="0"/>
          <w:lang w:val="en-US"/>
        </w:rPr>
        <w:t>participation in the implementation process within all sectoral priorities and departmental functions.</w:t>
      </w:r>
    </w:p>
    <w:p>
      <w:pPr>
        <w:pStyle w:val="Body"/>
        <w:ind w:left="360" w:firstLine="0"/>
        <w:jc w:val="both"/>
        <w:rPr>
          <w:rFonts w:ascii="Times New Roman" w:cs="Times New Roman" w:hAnsi="Times New Roman" w:eastAsia="Times New Roman"/>
          <w:sz w:val="24"/>
          <w:szCs w:val="24"/>
        </w:rPr>
      </w:pPr>
      <w:r>
        <w:rPr>
          <w:rFonts w:ascii="Times New Roman" w:hAnsi="Times New Roman"/>
          <w:sz w:val="24"/>
          <w:szCs w:val="24"/>
          <w:rtl w:val="0"/>
          <w:lang w:val="en-US"/>
        </w:rPr>
        <w:t>As a result, it is anticipated that Migori County will include the gender policy into its County Integrated Development Plan (CIDP), County Annual Development Plans, County Annual Budget Estimates, and any other pertinent county government policies and sectoral plans.</w:t>
      </w:r>
    </w:p>
    <w:p>
      <w:pPr>
        <w:pStyle w:val="Body"/>
        <w:jc w:val="both"/>
        <w:rPr>
          <w:rFonts w:ascii="Times New Roman" w:cs="Times New Roman" w:hAnsi="Times New Roman" w:eastAsia="Times New Roman"/>
          <w:b w:val="1"/>
          <w:bCs w:val="1"/>
          <w:sz w:val="24"/>
          <w:szCs w:val="24"/>
        </w:rPr>
      </w:pPr>
    </w:p>
    <w:p>
      <w:pPr>
        <w:pStyle w:val="Body"/>
        <w:jc w:val="both"/>
        <w:rPr>
          <w:rFonts w:ascii="Times New Roman" w:cs="Times New Roman" w:hAnsi="Times New Roman" w:eastAsia="Times New Roman"/>
          <w:b w:val="1"/>
          <w:bCs w:val="1"/>
          <w:sz w:val="24"/>
          <w:szCs w:val="24"/>
        </w:rPr>
      </w:pPr>
    </w:p>
    <w:p>
      <w:pPr>
        <w:pStyle w:val="Body"/>
        <w:jc w:val="both"/>
        <w:rPr>
          <w:rFonts w:ascii="Times New Roman" w:cs="Times New Roman" w:hAnsi="Times New Roman" w:eastAsia="Times New Roman"/>
          <w:b w:val="1"/>
          <w:bCs w:val="1"/>
          <w:sz w:val="24"/>
          <w:szCs w:val="24"/>
        </w:rPr>
      </w:pPr>
    </w:p>
    <w:p>
      <w:pPr>
        <w:pStyle w:val="Body"/>
        <w:jc w:val="both"/>
        <w:rPr>
          <w:rFonts w:ascii="Times New Roman" w:cs="Times New Roman" w:hAnsi="Times New Roman" w:eastAsia="Times New Roman"/>
          <w:b w:val="1"/>
          <w:bCs w:val="1"/>
          <w:sz w:val="24"/>
          <w:szCs w:val="24"/>
        </w:rPr>
      </w:pPr>
    </w:p>
    <w:p>
      <w:pPr>
        <w:pStyle w:val="Body"/>
        <w:jc w:val="both"/>
        <w:rPr>
          <w:rFonts w:ascii="Times New Roman" w:cs="Times New Roman" w:hAnsi="Times New Roman" w:eastAsia="Times New Roman"/>
          <w:b w:val="1"/>
          <w:bCs w:val="1"/>
          <w:sz w:val="24"/>
          <w:szCs w:val="24"/>
        </w:rPr>
      </w:pPr>
    </w:p>
    <w:p>
      <w:pPr>
        <w:pStyle w:val="Body"/>
        <w:jc w:val="both"/>
        <w:rPr>
          <w:rFonts w:ascii="Times New Roman" w:cs="Times New Roman" w:hAnsi="Times New Roman" w:eastAsia="Times New Roman"/>
          <w:b w:val="1"/>
          <w:bCs w:val="1"/>
          <w:sz w:val="24"/>
          <w:szCs w:val="24"/>
        </w:rPr>
      </w:pPr>
    </w:p>
    <w:p>
      <w:pPr>
        <w:pStyle w:val="Heading"/>
        <w:jc w:val="center"/>
        <w:rPr>
          <w:b w:val="1"/>
          <w:bCs w:val="1"/>
        </w:rPr>
      </w:pPr>
      <w:bookmarkStart w:name="_Toc3" w:id="3"/>
      <w:r>
        <w:rPr>
          <w:rtl w:val="0"/>
        </w:rPr>
        <w:t xml:space="preserve">2. </w:t>
      </w:r>
      <w:r>
        <w:rPr>
          <w:b w:val="1"/>
          <w:bCs w:val="1"/>
          <w:rtl w:val="0"/>
          <w:lang w:val="de-DE"/>
        </w:rPr>
        <w:t>MIGORI COUNTY GENDER POLICY</w:t>
      </w:r>
      <w:bookmarkEnd w:id="3"/>
    </w:p>
    <w:p>
      <w:pPr>
        <w:pStyle w:val="Heading 2"/>
        <w:jc w:val="center"/>
        <w:rPr>
          <w:b w:val="1"/>
          <w:bCs w:val="1"/>
        </w:rPr>
      </w:pPr>
      <w:bookmarkStart w:name="_Toc4" w:id="4"/>
      <w:r>
        <w:rPr>
          <w:b w:val="1"/>
          <w:bCs w:val="1"/>
          <w:rtl w:val="0"/>
          <w:lang w:val="en-US"/>
        </w:rPr>
        <w:t>2.1 The Gender Policy Vision</w:t>
      </w:r>
      <w:bookmarkEnd w:id="4"/>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The vision of this policy is to create a just society where all people have equal rights and opportunities in all spheres of life, free from negative discrimination, marginalisation, disempowerment, and violence.</w:t>
      </w:r>
    </w:p>
    <w:p>
      <w:pPr>
        <w:pStyle w:val="Heading 2"/>
        <w:jc w:val="center"/>
        <w:rPr>
          <w:b w:val="1"/>
          <w:bCs w:val="1"/>
        </w:rPr>
      </w:pPr>
      <w:bookmarkStart w:name="_Toc5" w:id="5"/>
      <w:r>
        <w:rPr>
          <w:rtl w:val="0"/>
        </w:rPr>
        <w:t xml:space="preserve">2.2 </w:t>
      </w:r>
      <w:r>
        <w:rPr>
          <w:b w:val="1"/>
          <w:bCs w:val="1"/>
          <w:rtl w:val="0"/>
          <w:lang w:val="en-US"/>
        </w:rPr>
        <w:t>Overall objective</w:t>
      </w:r>
      <w:bookmarkEnd w:id="5"/>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To serve as a model for institutionalising and implementing gender mainstreaming throughout all County Government functions.</w:t>
      </w:r>
    </w:p>
    <w:p>
      <w:pPr>
        <w:pStyle w:val="Heading 2"/>
        <w:jc w:val="center"/>
      </w:pPr>
      <w:bookmarkStart w:name="_Toc6" w:id="6"/>
      <w:r>
        <w:rPr>
          <w:rtl w:val="0"/>
        </w:rPr>
        <w:t xml:space="preserve">2.3 </w:t>
      </w:r>
      <w:r>
        <w:rPr>
          <w:b w:val="1"/>
          <w:bCs w:val="1"/>
          <w:rtl w:val="0"/>
          <w:lang w:val="en-US"/>
        </w:rPr>
        <w:t>Specific objectives</w:t>
      </w:r>
      <w:bookmarkEnd w:id="6"/>
    </w:p>
    <w:p>
      <w:pPr>
        <w:pStyle w:val="List Paragraph"/>
        <w:numPr>
          <w:ilvl w:val="0"/>
          <w:numId w:val="18"/>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Engender County policies and regulations with the Constitution and domesticated international and regional treaties, conventions, protocols, and commitments to promote gender equality.</w:t>
      </w:r>
    </w:p>
    <w:p>
      <w:pPr>
        <w:pStyle w:val="List Paragraph"/>
        <w:jc w:val="both"/>
        <w:rPr>
          <w:rFonts w:ascii="Times New Roman" w:cs="Times New Roman" w:hAnsi="Times New Roman" w:eastAsia="Times New Roman"/>
          <w:sz w:val="24"/>
          <w:szCs w:val="24"/>
        </w:rPr>
      </w:pPr>
    </w:p>
    <w:p>
      <w:pPr>
        <w:pStyle w:val="List Paragraph"/>
        <w:numPr>
          <w:ilvl w:val="0"/>
          <w:numId w:val="18"/>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Provide a framework to integrate and mainstream gender equality and empowerment approaches into the County</w:t>
      </w:r>
      <w:r>
        <w:rPr>
          <w:rFonts w:ascii="Times New Roman" w:hAnsi="Times New Roman" w:hint="default"/>
          <w:sz w:val="24"/>
          <w:szCs w:val="24"/>
          <w:rtl w:val="0"/>
          <w:lang w:val="en-US"/>
        </w:rPr>
        <w:t>’</w:t>
      </w:r>
      <w:r>
        <w:rPr>
          <w:rFonts w:ascii="Times New Roman" w:hAnsi="Times New Roman"/>
          <w:sz w:val="24"/>
          <w:szCs w:val="24"/>
          <w:rtl w:val="0"/>
          <w:lang w:val="en-US"/>
        </w:rPr>
        <w:t xml:space="preserve">s development planning, </w:t>
      </w:r>
      <w:r>
        <w:rPr>
          <w:rFonts w:ascii="Times New Roman" w:hAnsi="Times New Roman"/>
          <w:sz w:val="24"/>
          <w:szCs w:val="24"/>
          <w:rtl w:val="0"/>
          <w:lang w:val="en-US"/>
        </w:rPr>
        <w:t>G</w:t>
      </w:r>
      <w:r>
        <w:rPr>
          <w:rFonts w:ascii="Times New Roman" w:hAnsi="Times New Roman"/>
          <w:sz w:val="24"/>
          <w:szCs w:val="24"/>
          <w:rtl w:val="0"/>
          <w:lang w:val="en-US"/>
        </w:rPr>
        <w:t>ender</w:t>
      </w:r>
      <w:r>
        <w:rPr>
          <w:rFonts w:ascii="Times New Roman" w:hAnsi="Times New Roman"/>
          <w:sz w:val="24"/>
          <w:szCs w:val="24"/>
          <w:rtl w:val="0"/>
          <w:lang w:val="en-US"/>
        </w:rPr>
        <w:t>-</w:t>
      </w:r>
      <w:r>
        <w:rPr>
          <w:rFonts w:ascii="Times New Roman" w:hAnsi="Times New Roman"/>
          <w:sz w:val="24"/>
          <w:szCs w:val="24"/>
          <w:rtl w:val="0"/>
          <w:lang w:val="en-US"/>
        </w:rPr>
        <w:t xml:space="preserve">responsive </w:t>
      </w:r>
      <w:commentRangeStart w:id="7"/>
      <w:r>
        <w:rPr>
          <w:rFonts w:ascii="Times New Roman" w:hAnsi="Times New Roman"/>
          <w:sz w:val="24"/>
          <w:szCs w:val="24"/>
          <w:rtl w:val="0"/>
          <w:lang w:val="en-US"/>
        </w:rPr>
        <w:t>budgeting</w:t>
      </w:r>
      <w:commentRangeEnd w:id="7"/>
      <w:r>
        <w:commentReference w:id="7"/>
      </w:r>
      <w:r>
        <w:rPr>
          <w:rFonts w:ascii="Times New Roman" w:hAnsi="Times New Roman"/>
          <w:sz w:val="24"/>
          <w:szCs w:val="24"/>
          <w:rtl w:val="0"/>
          <w:lang w:val="en-US"/>
        </w:rPr>
        <w:t xml:space="preserve"> and the resultant programs</w:t>
      </w:r>
      <w:r>
        <w:rPr>
          <w:rFonts w:ascii="Times New Roman" w:hAnsi="Times New Roman" w:hint="default"/>
          <w:sz w:val="24"/>
          <w:szCs w:val="24"/>
          <w:rtl w:val="0"/>
          <w:lang w:val="en-US"/>
        </w:rPr>
        <w:t xml:space="preserve">’ </w:t>
      </w:r>
      <w:r>
        <w:rPr>
          <w:rFonts w:ascii="Times New Roman" w:hAnsi="Times New Roman"/>
          <w:sz w:val="24"/>
          <w:szCs w:val="24"/>
          <w:rtl w:val="0"/>
          <w:lang w:val="en-US"/>
        </w:rPr>
        <w:t>implementation.</w:t>
      </w:r>
    </w:p>
    <w:p>
      <w:pPr>
        <w:pStyle w:val="List Paragraph"/>
        <w:jc w:val="both"/>
        <w:rPr>
          <w:rFonts w:ascii="Times New Roman" w:cs="Times New Roman" w:hAnsi="Times New Roman" w:eastAsia="Times New Roman"/>
          <w:sz w:val="24"/>
          <w:szCs w:val="24"/>
        </w:rPr>
      </w:pPr>
    </w:p>
    <w:p>
      <w:pPr>
        <w:pStyle w:val="List Paragraph"/>
        <w:numPr>
          <w:ilvl w:val="0"/>
          <w:numId w:val="18"/>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Promote and support a rights-based approach across all sectors, keeping in mind that gender is a multifaceted issue.</w:t>
      </w:r>
    </w:p>
    <w:p>
      <w:pPr>
        <w:pStyle w:val="List Paragraph"/>
        <w:jc w:val="both"/>
        <w:rPr>
          <w:rFonts w:ascii="Times New Roman" w:cs="Times New Roman" w:hAnsi="Times New Roman" w:eastAsia="Times New Roman"/>
          <w:sz w:val="24"/>
          <w:szCs w:val="24"/>
        </w:rPr>
      </w:pPr>
    </w:p>
    <w:p>
      <w:pPr>
        <w:pStyle w:val="List Paragraph"/>
        <w:numPr>
          <w:ilvl w:val="0"/>
          <w:numId w:val="18"/>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End all kinds of sexual and gender-based violence (SGBV) through consultative and inclusive prevention and response methods and systems.</w:t>
      </w:r>
    </w:p>
    <w:p>
      <w:pPr>
        <w:pStyle w:val="List Paragraph"/>
        <w:jc w:val="both"/>
        <w:rPr>
          <w:rFonts w:ascii="Times New Roman" w:cs="Times New Roman" w:hAnsi="Times New Roman" w:eastAsia="Times New Roman"/>
          <w:sz w:val="24"/>
          <w:szCs w:val="24"/>
        </w:rPr>
      </w:pPr>
    </w:p>
    <w:p>
      <w:pPr>
        <w:pStyle w:val="List Paragraph"/>
        <w:numPr>
          <w:ilvl w:val="0"/>
          <w:numId w:val="18"/>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Improve institutional systems for gathering and </w:t>
      </w:r>
      <w:commentRangeStart w:id="8"/>
      <w:r>
        <w:rPr>
          <w:rFonts w:ascii="Times New Roman" w:hAnsi="Times New Roman"/>
          <w:sz w:val="24"/>
          <w:szCs w:val="24"/>
          <w:rtl w:val="0"/>
          <w:lang w:val="en-US"/>
        </w:rPr>
        <w:t>analysing</w:t>
      </w:r>
      <w:commentRangeEnd w:id="8"/>
      <w:r>
        <w:commentReference w:id="8"/>
      </w:r>
      <w:r>
        <w:rPr>
          <w:rFonts w:ascii="Times New Roman" w:hAnsi="Times New Roman"/>
          <w:sz w:val="24"/>
          <w:szCs w:val="24"/>
          <w:rtl w:val="0"/>
          <w:lang w:val="en-US"/>
        </w:rPr>
        <w:t xml:space="preserve"> sex and gender-disaggregated data.</w:t>
      </w:r>
    </w:p>
    <w:p>
      <w:pPr>
        <w:pStyle w:val="List Paragraph"/>
        <w:jc w:val="both"/>
        <w:rPr>
          <w:rFonts w:ascii="Times New Roman" w:cs="Times New Roman" w:hAnsi="Times New Roman" w:eastAsia="Times New Roman"/>
          <w:sz w:val="24"/>
          <w:szCs w:val="24"/>
        </w:rPr>
      </w:pPr>
    </w:p>
    <w:p>
      <w:pPr>
        <w:pStyle w:val="List Paragraph"/>
        <w:numPr>
          <w:ilvl w:val="0"/>
          <w:numId w:val="18"/>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Establish institutional frameworks and performance indicators for tracking, monitoring, evaluating, and reporting on gender equality and empowerment principles.</w:t>
      </w:r>
    </w:p>
    <w:p>
      <w:pPr>
        <w:pStyle w:val="Heading 2"/>
        <w:jc w:val="center"/>
      </w:pPr>
      <w:bookmarkStart w:name="_Toc7" w:id="9"/>
      <w:r>
        <w:rPr>
          <w:rtl w:val="0"/>
        </w:rPr>
        <w:t xml:space="preserve">2.4 </w:t>
      </w:r>
      <w:r>
        <w:rPr>
          <w:b w:val="1"/>
          <w:bCs w:val="1"/>
          <w:rtl w:val="0"/>
          <w:lang w:val="en-US"/>
        </w:rPr>
        <w:t>Guiding Principles</w:t>
      </w:r>
      <w:bookmarkEnd w:id="9"/>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The following guiding concepts serve as the foundation of this policy</w:t>
      </w:r>
      <w:r>
        <w:rPr>
          <w:rFonts w:ascii="Times New Roman" w:hAnsi="Times New Roman"/>
          <w:sz w:val="24"/>
          <w:szCs w:val="24"/>
          <w:rtl w:val="0"/>
          <w:lang w:val="en-US"/>
        </w:rPr>
        <w:t>;</w:t>
      </w:r>
    </w:p>
    <w:p>
      <w:pPr>
        <w:pStyle w:val="List Paragraph"/>
        <w:numPr>
          <w:ilvl w:val="0"/>
          <w:numId w:val="20"/>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Supremacy of the Kenyan Constitution of 2010;</w:t>
      </w:r>
    </w:p>
    <w:p>
      <w:pPr>
        <w:pStyle w:val="List Paragraph"/>
        <w:numPr>
          <w:ilvl w:val="0"/>
          <w:numId w:val="20"/>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 Consultative and participatory in nature;</w:t>
      </w:r>
    </w:p>
    <w:p>
      <w:pPr>
        <w:pStyle w:val="List Paragraph"/>
        <w:numPr>
          <w:ilvl w:val="0"/>
          <w:numId w:val="20"/>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Empowerment, which provides men and women with resources, a voice, authority, and control over their lives;</w:t>
      </w:r>
    </w:p>
    <w:p>
      <w:pPr>
        <w:pStyle w:val="List Paragraph"/>
        <w:numPr>
          <w:ilvl w:val="0"/>
          <w:numId w:val="20"/>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Inclusion, diversity, and non-discrimination;</w:t>
      </w:r>
    </w:p>
    <w:p>
      <w:pPr>
        <w:pStyle w:val="List Paragraph"/>
        <w:numPr>
          <w:ilvl w:val="0"/>
          <w:numId w:val="20"/>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Affirmative action is used to equalise opportunities and access as a corrective measure;</w:t>
      </w:r>
    </w:p>
    <w:p>
      <w:pPr>
        <w:pStyle w:val="List Paragraph"/>
        <w:numPr>
          <w:ilvl w:val="0"/>
          <w:numId w:val="20"/>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Adherence to the rule of law;</w:t>
      </w:r>
    </w:p>
    <w:p>
      <w:pPr>
        <w:pStyle w:val="List Paragraph"/>
        <w:numPr>
          <w:ilvl w:val="0"/>
          <w:numId w:val="20"/>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Human rights and fundamental freedoms for women; and</w:t>
      </w:r>
    </w:p>
    <w:p>
      <w:pPr>
        <w:pStyle w:val="List Paragraph"/>
        <w:numPr>
          <w:ilvl w:val="0"/>
          <w:numId w:val="20"/>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Non-tolerance for SGBV.</w:t>
      </w:r>
    </w:p>
    <w:p>
      <w:pPr>
        <w:pStyle w:val="Heading 2"/>
        <w:jc w:val="center"/>
      </w:pPr>
      <w:bookmarkStart w:name="_Toc8" w:id="10"/>
      <w:r>
        <w:rPr>
          <w:rtl w:val="0"/>
        </w:rPr>
        <w:t xml:space="preserve">2.5 </w:t>
      </w:r>
      <w:r>
        <w:rPr>
          <w:b w:val="1"/>
          <w:bCs w:val="1"/>
          <w:rtl w:val="0"/>
          <w:lang w:val="de-DE"/>
        </w:rPr>
        <w:t>GEWE in Vision 2030</w:t>
      </w:r>
      <w:bookmarkEnd w:id="10"/>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Gender equality is a value enshrined in Kenya's 2010 Constitution and fully described in Kenya's development roadmap, Vision 2030. Gender equality is viewed as a foundation for citizen inclusion in all elements of development by all three major pillars: economic, social, and political. As a result, MTP III (2018-2022) defines Gender Equality and Women's Empowerment (GEWE) as a national priority and a key performance indicator in achieving Vision 2030. The plan emphasises the significance of mainstreaming GEWE concepts at the national and devolved levels in all sectors of the economy in order to bridge gaps in the implementation of several theme programmes.</w:t>
      </w:r>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Mainstreaming GEWE, as outlined in the blueprint, is intended to achieve the following goals for the country and devolved units: </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To ensure that every development is gender-sensitive and that all reports are gender-sensitive. </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Rethinking policies and practises to empower and safeguard women, men, boys, and girls. </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 xml:space="preserve">Ensuring that growth and development are inclusive, just, equitable, and long-term.  To abolish all financial, social, political, economic, legal, and normative impediments so that everyone can succeed. </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To guarantee that both genders manage natural resources in a sustainable manner.  Ensuring equal involvement in governance procedures and equal service advantages.</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Expand opportunities for all people, particularly women and vulnerable groups, to actively and productively participate in development.</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To ensure equal involvement in governance processes as well as equal access to services.</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Expand opportunities for all people, particularly women and vulnerable groups, to actively and productively participate in development.</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Strengthen basic rights protection for all citizens, particularly children, women, and vulnerable groups.</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Improve citizen protection through reducing sex and gender-based violence, as well as harmful cultural practises.</w:t>
      </w:r>
    </w:p>
    <w:p>
      <w:pPr>
        <w:pStyle w:val="List Paragraph"/>
        <w:numPr>
          <w:ilvl w:val="0"/>
          <w:numId w:val="22"/>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Increase gender equality in all aspects of the workforce and decision-making roles.</w:t>
      </w:r>
    </w:p>
    <w:p>
      <w:pPr>
        <w:pStyle w:val="Heading 2"/>
        <w:jc w:val="center"/>
      </w:pPr>
      <w:bookmarkStart w:name="_Toc9" w:id="11"/>
      <w:r>
        <w:rPr>
          <w:rtl w:val="0"/>
        </w:rPr>
        <w:t xml:space="preserve">2.6 </w:t>
      </w:r>
      <w:r>
        <w:rPr>
          <w:b w:val="1"/>
          <w:bCs w:val="1"/>
          <w:rtl w:val="0"/>
          <w:lang w:val="en-US"/>
        </w:rPr>
        <w:t xml:space="preserve">The </w:t>
      </w:r>
      <w:r>
        <w:rPr>
          <w:b w:val="1"/>
          <w:bCs w:val="1"/>
          <w:rtl w:val="0"/>
          <w:lang w:val="en-US"/>
        </w:rPr>
        <w:t xml:space="preserve">Rationale </w:t>
      </w:r>
      <w:r>
        <w:rPr>
          <w:b w:val="1"/>
          <w:bCs w:val="1"/>
          <w:rtl w:val="0"/>
          <w:lang w:val="en-US"/>
        </w:rPr>
        <w:t>for a Gender Policy</w:t>
      </w:r>
      <w:bookmarkEnd w:id="11"/>
    </w:p>
    <w:p>
      <w:pPr>
        <w:pStyle w:val="Body"/>
        <w:ind w:left="360" w:firstLine="0"/>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The underlying </w:t>
      </w:r>
      <w:r>
        <w:rPr>
          <w:rFonts w:ascii="Times New Roman" w:hAnsi="Times New Roman"/>
          <w:sz w:val="24"/>
          <w:szCs w:val="24"/>
          <w:rtl w:val="0"/>
          <w:lang w:val="en-US"/>
        </w:rPr>
        <w:t xml:space="preserve">historical </w:t>
      </w:r>
      <w:r>
        <w:rPr>
          <w:rFonts w:ascii="Times New Roman" w:hAnsi="Times New Roman"/>
          <w:sz w:val="24"/>
          <w:szCs w:val="24"/>
          <w:rtl w:val="0"/>
          <w:lang w:val="es-ES_tradnl"/>
        </w:rPr>
        <w:t>patriarchal</w:t>
      </w:r>
      <w:r>
        <w:rPr>
          <w:rFonts w:ascii="Times New Roman" w:hAnsi="Times New Roman"/>
          <w:sz w:val="24"/>
          <w:szCs w:val="24"/>
          <w:rtl w:val="0"/>
          <w:lang w:val="en-US"/>
        </w:rPr>
        <w:t xml:space="preserve"> </w:t>
      </w:r>
      <w:r>
        <w:rPr>
          <w:rFonts w:ascii="Times New Roman" w:hAnsi="Times New Roman"/>
          <w:sz w:val="24"/>
          <w:szCs w:val="24"/>
          <w:rtl w:val="0"/>
          <w:lang w:val="en-US"/>
        </w:rPr>
        <w:t>systems</w:t>
      </w:r>
      <w:r>
        <w:rPr>
          <w:rFonts w:ascii="Times New Roman" w:hAnsi="Times New Roman"/>
          <w:sz w:val="24"/>
          <w:szCs w:val="24"/>
          <w:rtl w:val="0"/>
          <w:lang w:val="en-US"/>
        </w:rPr>
        <w:t>, limited and insufficient services and resources for women and men, and inequality,</w:t>
      </w:r>
      <w:r>
        <w:rPr>
          <w:rFonts w:ascii="Times New Roman" w:hAnsi="Times New Roman"/>
          <w:sz w:val="24"/>
          <w:szCs w:val="24"/>
          <w:rtl w:val="0"/>
          <w:lang w:val="en-US"/>
        </w:rPr>
        <w:t xml:space="preserve"> provide the rationale for the institutionalization of a gendered approach in</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providing equitable social and economic services to </w:t>
      </w:r>
      <w:r>
        <w:rPr>
          <w:rFonts w:ascii="Times New Roman" w:hAnsi="Times New Roman"/>
          <w:sz w:val="24"/>
          <w:szCs w:val="24"/>
          <w:rtl w:val="0"/>
          <w:lang w:val="en-US"/>
        </w:rPr>
        <w:t>the population in Migori county.</w:t>
      </w:r>
      <w:r>
        <w:rPr>
          <w:rFonts w:ascii="Times New Roman" w:hAnsi="Times New Roman"/>
          <w:sz w:val="24"/>
          <w:szCs w:val="24"/>
          <w:rtl w:val="0"/>
        </w:rPr>
        <w:t xml:space="preserve">, </w:t>
      </w:r>
      <w:r>
        <w:rPr>
          <w:rFonts w:ascii="Times New Roman" w:hAnsi="Times New Roman"/>
          <w:sz w:val="24"/>
          <w:szCs w:val="24"/>
          <w:rtl w:val="0"/>
          <w:lang w:val="en-US"/>
        </w:rPr>
        <w:t>T</w:t>
      </w:r>
      <w:r>
        <w:rPr>
          <w:rFonts w:ascii="Times New Roman" w:hAnsi="Times New Roman"/>
          <w:sz w:val="24"/>
          <w:szCs w:val="24"/>
          <w:rtl w:val="0"/>
          <w:lang w:val="en-US"/>
        </w:rPr>
        <w:t>his gender policy is critical to achieving the following</w:t>
      </w:r>
      <w:r>
        <w:rPr>
          <w:rFonts w:ascii="Times New Roman" w:hAnsi="Times New Roman" w:hint="default"/>
          <w:sz w:val="24"/>
          <w:szCs w:val="24"/>
          <w:rtl w:val="0"/>
          <w:lang w:val="en-US"/>
        </w:rPr>
        <w:t>—</w:t>
      </w:r>
    </w:p>
    <w:p>
      <w:pPr>
        <w:pStyle w:val="List Paragraph"/>
        <w:numPr>
          <w:ilvl w:val="0"/>
          <w:numId w:val="24"/>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Implementation of the Constitution, particularly Article 10; Chapter 4, Chapter 11, Chapter 12, and Schedule 4; and, in particular, equality of treatment and freedom from discrimination as provided for in Article 27 of the Constitution; b) Promotion of interoperability and consistency of approach to empower every sector, department, board, and committee with a greater appreciation of gender equality practises.</w:t>
      </w:r>
    </w:p>
    <w:p>
      <w:pPr>
        <w:pStyle w:val="List Paragraph"/>
        <w:numPr>
          <w:ilvl w:val="0"/>
          <w:numId w:val="24"/>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Replicability to ensure that every individual in Migori County receives equitable treatment.</w:t>
      </w:r>
    </w:p>
    <w:p>
      <w:pPr>
        <w:pStyle w:val="List Paragraph"/>
        <w:numPr>
          <w:ilvl w:val="0"/>
          <w:numId w:val="24"/>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Legal compliance and gender equality in all sectors.</w:t>
      </w:r>
    </w:p>
    <w:p>
      <w:pPr>
        <w:pStyle w:val="List Paragraph"/>
        <w:numPr>
          <w:ilvl w:val="0"/>
          <w:numId w:val="24"/>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Increased transparency and professionalism in service delivery.</w:t>
      </w:r>
    </w:p>
    <w:p>
      <w:pPr>
        <w:pStyle w:val="List Paragraph"/>
        <w:numPr>
          <w:ilvl w:val="0"/>
          <w:numId w:val="24"/>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Increased citizen confidence, trust, and support for the County Government and other associated organisations and persons.</w:t>
      </w:r>
    </w:p>
    <w:p>
      <w:pPr>
        <w:pStyle w:val="List Paragraph"/>
        <w:numPr>
          <w:ilvl w:val="0"/>
          <w:numId w:val="24"/>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Development and adoption of gender-responsive requirements for social, economic, and development programme planning, budgeting, and execution.</w:t>
      </w:r>
    </w:p>
    <w:p>
      <w:pPr>
        <w:pStyle w:val="List Paragraph"/>
        <w:numPr>
          <w:ilvl w:val="0"/>
          <w:numId w:val="24"/>
        </w:numPr>
        <w:bidi w:val="0"/>
        <w:ind w:right="0"/>
        <w:jc w:val="both"/>
        <w:rPr>
          <w:rFonts w:ascii="Times New Roman" w:hAnsi="Times New Roman"/>
          <w:sz w:val="24"/>
          <w:szCs w:val="24"/>
          <w:rtl w:val="0"/>
          <w:lang w:val="en-US"/>
        </w:rPr>
      </w:pPr>
      <w:r>
        <w:rPr>
          <w:rFonts w:ascii="Times New Roman" w:hAnsi="Times New Roman"/>
          <w:sz w:val="24"/>
          <w:szCs w:val="24"/>
          <w:rtl w:val="0"/>
          <w:lang w:val="en-US"/>
        </w:rPr>
        <w:t>G</w:t>
      </w:r>
      <w:r>
        <w:rPr>
          <w:rFonts w:ascii="Times New Roman" w:hAnsi="Times New Roman"/>
          <w:sz w:val="24"/>
          <w:szCs w:val="24"/>
          <w:rtl w:val="0"/>
          <w:lang w:val="en-US"/>
        </w:rPr>
        <w:t>ender-</w:t>
      </w:r>
      <w:r>
        <w:rPr>
          <w:rFonts w:ascii="Times New Roman" w:hAnsi="Times New Roman"/>
          <w:sz w:val="24"/>
          <w:szCs w:val="24"/>
          <w:rtl w:val="0"/>
          <w:lang w:val="en-US"/>
        </w:rPr>
        <w:t>responsive</w:t>
      </w:r>
      <w:r>
        <w:rPr>
          <w:rFonts w:ascii="Times New Roman" w:hAnsi="Times New Roman"/>
          <w:sz w:val="24"/>
          <w:szCs w:val="24"/>
          <w:rtl w:val="0"/>
          <w:lang w:val="en-US"/>
        </w:rPr>
        <w:t xml:space="preserve"> </w:t>
      </w:r>
      <w:r>
        <w:rPr>
          <w:rFonts w:ascii="Times New Roman" w:hAnsi="Times New Roman"/>
          <w:sz w:val="24"/>
          <w:szCs w:val="24"/>
          <w:rtl w:val="0"/>
          <w:lang w:val="en-US"/>
        </w:rPr>
        <w:t>and s</w:t>
      </w:r>
      <w:r>
        <w:rPr>
          <w:rFonts w:ascii="Times New Roman" w:hAnsi="Times New Roman"/>
          <w:sz w:val="24"/>
          <w:szCs w:val="24"/>
          <w:rtl w:val="0"/>
          <w:lang w:val="en-US"/>
        </w:rPr>
        <w:t xml:space="preserve">ocio-economically cohesive </w:t>
      </w:r>
      <w:r>
        <w:rPr>
          <w:rFonts w:ascii="Times New Roman" w:hAnsi="Times New Roman"/>
          <w:sz w:val="24"/>
          <w:szCs w:val="24"/>
          <w:rtl w:val="0"/>
          <w:lang w:val="en-US"/>
        </w:rPr>
        <w:t>society.</w:t>
      </w:r>
    </w:p>
    <w:p>
      <w:pPr>
        <w:pStyle w:val="Body"/>
        <w:ind w:left="720" w:firstLine="0"/>
        <w:jc w:val="both"/>
        <w:rPr>
          <w:rFonts w:ascii="Times New Roman" w:cs="Times New Roman" w:hAnsi="Times New Roman" w:eastAsia="Times New Roman"/>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Body"/>
        <w:ind w:left="720" w:firstLine="0"/>
        <w:jc w:val="both"/>
        <w:rPr>
          <w:rFonts w:ascii="Times New Roman" w:cs="Times New Roman" w:hAnsi="Times New Roman" w:eastAsia="Times New Roman"/>
          <w:b w:val="1"/>
          <w:bCs w:val="1"/>
          <w:sz w:val="24"/>
          <w:szCs w:val="24"/>
        </w:rPr>
      </w:pPr>
    </w:p>
    <w:p>
      <w:pPr>
        <w:pStyle w:val="Heading 2"/>
        <w:numPr>
          <w:ilvl w:val="0"/>
          <w:numId w:val="27"/>
        </w:numPr>
        <w:bidi w:val="0"/>
        <w:ind w:right="0"/>
        <w:jc w:val="center"/>
        <w:rPr>
          <w:b w:val="1"/>
          <w:bCs w:val="1"/>
          <w:rtl w:val="0"/>
        </w:rPr>
      </w:pPr>
      <w:bookmarkStart w:name="_Toc10" w:id="12"/>
      <w:r>
        <w:rPr>
          <w:b w:val="1"/>
          <w:bCs w:val="1"/>
          <w:rtl w:val="0"/>
          <w:lang w:val="en-US"/>
        </w:rPr>
        <w:t>POLICY COMMITMENTS, ACTIONS, AND STRATEGIES</w:t>
      </w:r>
      <w:bookmarkEnd w:id="12"/>
    </w:p>
    <w:p>
      <w:pPr>
        <w:pStyle w:val="Heading 2"/>
        <w:jc w:val="center"/>
        <w:rPr>
          <w:b w:val="1"/>
          <w:bCs w:val="1"/>
        </w:rPr>
      </w:pPr>
      <w:bookmarkStart w:name="_Toc11" w:id="13"/>
      <w:r>
        <w:rPr>
          <w:b w:val="1"/>
          <w:bCs w:val="1"/>
          <w:rtl w:val="0"/>
          <w:lang w:val="en-US"/>
        </w:rPr>
        <w:t>3.1 Thematic Issues and Migori Government Commitment</w:t>
      </w:r>
      <w:bookmarkEnd w:id="13"/>
    </w:p>
    <w:tbl>
      <w:tblPr>
        <w:tblW w:w="9017"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508"/>
        <w:gridCol w:w="4509"/>
      </w:tblGrid>
      <w:tr>
        <w:tblPrEx>
          <w:shd w:val="clear" w:color="auto" w:fill="cdd4e9"/>
        </w:tblPrEx>
        <w:trPr>
          <w:trHeight w:val="300" w:hRule="atLeast"/>
        </w:trPr>
        <w:tc>
          <w:tcPr>
            <w:tcW w:type="dxa" w:w="4508"/>
            <w:tcBorders>
              <w:top w:val="single" w:color="000000" w:sz="4" w:space="0" w:shadow="0" w:frame="0"/>
              <w:left w:val="single" w:color="000000" w:sz="4" w:space="0" w:shadow="0" w:frame="0"/>
              <w:bottom w:val="single" w:color="666666"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jc w:val="both"/>
            </w:pPr>
            <w:r>
              <w:rPr>
                <w:rFonts w:ascii="Times New Roman" w:hAnsi="Times New Roman"/>
                <w:outline w:val="0"/>
                <w:color w:val="ffffff"/>
                <w:sz w:val="24"/>
                <w:szCs w:val="24"/>
                <w:u w:color="ffffff"/>
                <w:shd w:val="nil" w:color="auto" w:fill="auto"/>
                <w:rtl w:val="0"/>
                <w:lang w:val="en-US"/>
                <w14:textFill>
                  <w14:solidFill>
                    <w14:srgbClr w14:val="FFFFFF"/>
                  </w14:solidFill>
                </w14:textFill>
              </w:rPr>
              <w:t>Thematic</w:t>
            </w:r>
          </w:p>
        </w:tc>
        <w:tc>
          <w:tcPr>
            <w:tcW w:type="dxa" w:w="4509"/>
            <w:tcBorders>
              <w:top w:val="single" w:color="000000" w:sz="4" w:space="0" w:shadow="0" w:frame="0"/>
              <w:left w:val="single" w:color="000000" w:sz="4" w:space="0" w:shadow="0" w:frame="0"/>
              <w:bottom w:val="single" w:color="666666"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jc w:val="both"/>
            </w:pPr>
            <w:r>
              <w:rPr>
                <w:rFonts w:ascii="Times New Roman" w:hAnsi="Times New Roman"/>
                <w:outline w:val="0"/>
                <w:color w:val="ffffff"/>
                <w:sz w:val="24"/>
                <w:szCs w:val="24"/>
                <w:u w:color="ffffff"/>
                <w:shd w:val="nil" w:color="auto" w:fill="auto"/>
                <w:rtl w:val="0"/>
                <w:lang w:val="en-US"/>
                <w14:textFill>
                  <w14:solidFill>
                    <w14:srgbClr w14:val="FFFFFF"/>
                  </w14:solidFill>
                </w14:textFill>
              </w:rPr>
              <w:t>Government Commitment</w:t>
            </w:r>
          </w:p>
        </w:tc>
      </w:tr>
      <w:tr>
        <w:tblPrEx>
          <w:shd w:val="clear" w:color="auto" w:fill="cdd4e9"/>
        </w:tblPrEx>
        <w:trPr>
          <w:trHeight w:val="4500"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Labour and</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Economy</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The County Government commits to:</w:t>
            </w:r>
          </w:p>
          <w:p>
            <w:pPr>
              <w:pStyle w:val="Body"/>
              <w:spacing w:after="0" w:line="240" w:lineRule="auto"/>
              <w:jc w:val="both"/>
              <w:rPr>
                <w:rFonts w:ascii="Times New Roman" w:cs="Times New Roman" w:hAnsi="Times New Roman" w:eastAsia="Times New Roman"/>
                <w:sz w:val="24"/>
                <w:szCs w:val="24"/>
                <w:shd w:val="nil" w:color="auto" w:fill="auto"/>
                <w:lang w:val="en-US"/>
              </w:rPr>
            </w:pPr>
          </w:p>
          <w:p>
            <w:pPr>
              <w:pStyle w:val="List Paragraph"/>
              <w:numPr>
                <w:ilvl w:val="0"/>
                <w:numId w:val="2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Invest in the creation of gender-responsive human capital.</w:t>
            </w:r>
          </w:p>
          <w:p>
            <w:pPr>
              <w:pStyle w:val="List Paragraph"/>
              <w:numPr>
                <w:ilvl w:val="0"/>
                <w:numId w:val="2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Invest in business enablers, pillars, and wealth generation prospects.</w:t>
            </w:r>
          </w:p>
          <w:p>
            <w:pPr>
              <w:pStyle w:val="List Paragraph"/>
              <w:numPr>
                <w:ilvl w:val="0"/>
                <w:numId w:val="2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Increase women's access to and control over productive resources.</w:t>
            </w:r>
          </w:p>
          <w:p>
            <w:pPr>
              <w:pStyle w:val="List Paragraph"/>
              <w:numPr>
                <w:ilvl w:val="0"/>
                <w:numId w:val="2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Recognise women as equal partners in labour and economic development in both the public and commercial sectors.</w:t>
            </w:r>
          </w:p>
          <w:p>
            <w:pPr>
              <w:pStyle w:val="List Paragraph"/>
              <w:numPr>
                <w:ilvl w:val="0"/>
                <w:numId w:val="2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Implement and integrate gender-responsive budgeting in resource prioritisation and mobilisation.</w:t>
            </w:r>
          </w:p>
        </w:tc>
      </w:tr>
      <w:tr>
        <w:tblPrEx>
          <w:shd w:val="clear" w:color="auto" w:fill="cdd4e9"/>
        </w:tblPrEx>
        <w:trPr>
          <w:trHeight w:val="11700"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Women</w:t>
            </w:r>
          </w:p>
          <w:p>
            <w:pPr>
              <w:pStyle w:val="Body"/>
              <w:bidi w:val="0"/>
              <w:spacing w:after="0" w:line="240" w:lineRule="auto"/>
              <w:ind w:left="0" w:right="0" w:firstLine="0"/>
              <w:jc w:val="both"/>
              <w:rPr>
                <w:rFonts w:ascii="Times New Roman" w:cs="Times New Roman" w:hAnsi="Times New Roman" w:eastAsia="Times New Roman"/>
                <w:b w:val="1"/>
                <w:bCs w:val="1"/>
                <w:sz w:val="24"/>
                <w:szCs w:val="24"/>
                <w:shd w:val="nil" w:color="auto" w:fill="auto"/>
                <w:rtl w:val="0"/>
              </w:rPr>
            </w:pPr>
            <w:r>
              <w:rPr>
                <w:rFonts w:ascii="Times New Roman" w:hAnsi="Times New Roman"/>
                <w:b w:val="1"/>
                <w:bCs w:val="1"/>
                <w:sz w:val="24"/>
                <w:szCs w:val="24"/>
                <w:shd w:val="nil" w:color="auto" w:fill="auto"/>
                <w:rtl w:val="0"/>
                <w:lang w:val="en-US"/>
              </w:rPr>
              <w:t>economic</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empowerment</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List Paragraph"/>
              <w:numPr>
                <w:ilvl w:val="0"/>
                <w:numId w:val="29"/>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Increasing women's access to the Women Enterprise Fund (WEF) and other resources for business development.</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Develop and nurture w</w:t>
            </w:r>
            <w:r>
              <w:rPr>
                <w:rFonts w:ascii="Times New Roman" w:hAnsi="Times New Roman"/>
                <w:sz w:val="24"/>
                <w:szCs w:val="24"/>
                <w:shd w:val="nil" w:color="auto" w:fill="auto"/>
                <w:rtl w:val="0"/>
                <w:lang w:val="en-US"/>
              </w:rPr>
              <w:t>omen's entrepreneurship skills</w:t>
            </w:r>
            <w:r>
              <w:rPr>
                <w:rFonts w:ascii="Times New Roman" w:hAnsi="Times New Roman"/>
                <w:sz w:val="24"/>
                <w:szCs w:val="24"/>
                <w:shd w:val="nil" w:color="auto" w:fill="auto"/>
                <w:rtl w:val="0"/>
                <w:lang w:val="en-US"/>
              </w:rPr>
              <w:t>.</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Assist women in gaining access to productive assets and equipment for value addition.</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Implement and monitor the 30% access to Government procurement opportunity (AGPO) programme proactively.</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Assist women in gaining access to markets and market information.</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Expand and customise extension and business training services to women, keeping in mind their time constraints.</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Provide technologies that have the ability to lessen the time burden on women, such as subsidies for energy cookstoves and clean energy, household solar lighting, and market-based child care and play space.</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Address and incorporate unpaid care work into its development agenda through the use of the 3Rs paradigm (Recognition, Reduction, and Redistribution).</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or modify a national government plan and programme for economic empowerment of women.</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Host an annual women's economic empowerment foru</w:t>
            </w:r>
            <w:r>
              <w:rPr>
                <w:rFonts w:ascii="Times New Roman" w:hAnsi="Times New Roman"/>
                <w:sz w:val="24"/>
                <w:szCs w:val="24"/>
                <w:shd w:val="nil" w:color="auto" w:fill="auto"/>
                <w:rtl w:val="0"/>
                <w:lang w:val="en-US"/>
              </w:rPr>
              <w:t>m,</w:t>
            </w:r>
            <w:r>
              <w:rPr>
                <w:rFonts w:ascii="Times New Roman" w:hAnsi="Times New Roman"/>
                <w:sz w:val="24"/>
                <w:szCs w:val="24"/>
                <w:shd w:val="nil" w:color="auto" w:fill="auto"/>
                <w:rtl w:val="0"/>
                <w:lang w:val="en-US"/>
              </w:rPr>
              <w:t xml:space="preserve"> honour outstanding female entrepreneurs</w:t>
            </w:r>
            <w:r>
              <w:rPr>
                <w:rFonts w:ascii="Times New Roman" w:hAnsi="Times New Roman"/>
                <w:sz w:val="24"/>
                <w:szCs w:val="24"/>
                <w:shd w:val="nil" w:color="auto" w:fill="auto"/>
                <w:rtl w:val="0"/>
                <w:lang w:val="en-US"/>
              </w:rPr>
              <w:t>;.</w:t>
            </w:r>
          </w:p>
          <w:p>
            <w:pPr>
              <w:pStyle w:val="List Paragraph"/>
              <w:numPr>
                <w:ilvl w:val="0"/>
                <w:numId w:val="2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Convene grant writing seminars/workshops for women-led enterprises.</w:t>
            </w:r>
          </w:p>
        </w:tc>
      </w:tr>
      <w:tr>
        <w:tblPrEx>
          <w:shd w:val="clear" w:color="auto" w:fill="cdd4e9"/>
        </w:tblPrEx>
        <w:trPr>
          <w:trHeight w:val="3600"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Access to healthcare</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The County Government commits to:</w:t>
            </w:r>
          </w:p>
          <w:p>
            <w:pPr>
              <w:pStyle w:val="List Paragraph"/>
              <w:numPr>
                <w:ilvl w:val="0"/>
                <w:numId w:val="3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Uphold the commitment to ensure that health services, commodities, and facilities are available, accessible, and acceptable to all inhabitants in Migori County, as well as of high quality. </w:t>
            </w:r>
          </w:p>
          <w:p>
            <w:pPr>
              <w:pStyle w:val="List Paragraph"/>
              <w:numPr>
                <w:ilvl w:val="0"/>
                <w:numId w:val="3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Recognise and strengthen the ability of traditional birth attendants (TBAs) in rural regions.</w:t>
            </w:r>
          </w:p>
          <w:p>
            <w:pPr>
              <w:pStyle w:val="List Paragraph"/>
              <w:numPr>
                <w:ilvl w:val="0"/>
                <w:numId w:val="3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Recognise and Institutionalise Community Health Workers.</w:t>
            </w:r>
          </w:p>
        </w:tc>
      </w:tr>
      <w:tr>
        <w:tblPrEx>
          <w:shd w:val="clear" w:color="auto" w:fill="cdd4e9"/>
        </w:tblPrEx>
        <w:trPr>
          <w:trHeight w:val="3300"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Sexual gender-based violence</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The County Government commits to:</w:t>
            </w:r>
          </w:p>
          <w:p>
            <w:pPr>
              <w:pStyle w:val="List Paragraph"/>
              <w:numPr>
                <w:ilvl w:val="0"/>
                <w:numId w:val="3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Eliminate all forms of discrimination and exploitation, especially in the workplace.</w:t>
            </w:r>
          </w:p>
          <w:p>
            <w:pPr>
              <w:pStyle w:val="List Paragraph"/>
              <w:numPr>
                <w:ilvl w:val="0"/>
                <w:numId w:val="3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Put an end to violence and exploitation.</w:t>
            </w:r>
          </w:p>
          <w:p>
            <w:pPr>
              <w:pStyle w:val="List Paragraph"/>
              <w:numPr>
                <w:ilvl w:val="0"/>
                <w:numId w:val="3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Put a stop to harmful practises such as child marriage, beading, and female genital mutilation.</w:t>
            </w:r>
          </w:p>
          <w:p>
            <w:pPr>
              <w:pStyle w:val="List Paragraph"/>
              <w:numPr>
                <w:ilvl w:val="0"/>
                <w:numId w:val="3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Promote reproductive and sexual health.</w:t>
            </w:r>
          </w:p>
        </w:tc>
      </w:tr>
      <w:tr>
        <w:tblPrEx>
          <w:shd w:val="clear" w:color="auto" w:fill="cdd4e9"/>
        </w:tblPrEx>
        <w:trPr>
          <w:trHeight w:val="3341"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Food and nutritional security</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shd w:val="nil" w:color="auto" w:fill="auto"/>
              </w:rPr>
            </w:pPr>
            <w:r>
              <w:rPr>
                <w:rFonts w:ascii="Times New Roman" w:hAnsi="Times New Roman"/>
                <w:sz w:val="24"/>
                <w:szCs w:val="24"/>
                <w:shd w:val="nil" w:color="auto" w:fill="auto"/>
                <w:rtl w:val="0"/>
                <w:lang w:val="en-US"/>
              </w:rPr>
              <w:t>The County Government commits to:</w:t>
            </w:r>
            <w:r>
              <w:rPr>
                <w:shd w:val="nil" w:color="auto" w:fill="auto"/>
                <w:rtl w:val="0"/>
                <w:lang w:val="en-US"/>
              </w:rPr>
              <w:t xml:space="preserve"> </w:t>
            </w:r>
          </w:p>
          <w:p>
            <w:pPr>
              <w:pStyle w:val="List Paragraph"/>
              <w:numPr>
                <w:ilvl w:val="0"/>
                <w:numId w:val="32"/>
              </w:numPr>
              <w:bidi w:val="0"/>
              <w:spacing w:after="0" w:line="240" w:lineRule="auto"/>
              <w:ind w:right="0"/>
              <w:jc w:val="both"/>
              <w:rPr>
                <w:sz w:val="24"/>
                <w:szCs w:val="24"/>
                <w:rtl w:val="0"/>
                <w:lang w:val="en-US"/>
              </w:rPr>
            </w:pPr>
            <w:r>
              <w:rPr>
                <w:rFonts w:ascii="Times New Roman" w:hAnsi="Times New Roman"/>
                <w:sz w:val="24"/>
                <w:szCs w:val="24"/>
                <w:shd w:val="nil" w:color="auto" w:fill="auto"/>
                <w:rtl w:val="0"/>
                <w:lang w:val="en-US"/>
              </w:rPr>
              <w:t>Entrusting women with food-production instruments.</w:t>
            </w:r>
          </w:p>
          <w:p>
            <w:pPr>
              <w:pStyle w:val="List Paragraph"/>
              <w:numPr>
                <w:ilvl w:val="0"/>
                <w:numId w:val="32"/>
              </w:numPr>
              <w:bidi w:val="0"/>
              <w:spacing w:after="0" w:line="240" w:lineRule="auto"/>
              <w:ind w:right="0"/>
              <w:jc w:val="both"/>
              <w:rPr>
                <w:sz w:val="24"/>
                <w:szCs w:val="24"/>
                <w:rtl w:val="0"/>
                <w:lang w:val="en-US"/>
              </w:rPr>
            </w:pPr>
            <w:r>
              <w:rPr>
                <w:rFonts w:ascii="Times New Roman" w:hAnsi="Times New Roman"/>
                <w:sz w:val="24"/>
                <w:szCs w:val="24"/>
                <w:shd w:val="nil" w:color="auto" w:fill="auto"/>
                <w:rtl w:val="0"/>
                <w:lang w:val="en-US"/>
              </w:rPr>
              <w:t>Increase the reach of extension services and hire female extension officers.</w:t>
            </w:r>
          </w:p>
          <w:p>
            <w:pPr>
              <w:pStyle w:val="List Paragraph"/>
              <w:numPr>
                <w:ilvl w:val="0"/>
                <w:numId w:val="32"/>
              </w:numPr>
              <w:bidi w:val="0"/>
              <w:spacing w:after="0" w:line="240" w:lineRule="auto"/>
              <w:ind w:right="0"/>
              <w:jc w:val="both"/>
              <w:rPr>
                <w:sz w:val="24"/>
                <w:szCs w:val="24"/>
                <w:rtl w:val="0"/>
                <w:lang w:val="en-US"/>
              </w:rPr>
            </w:pPr>
            <w:r>
              <w:rPr>
                <w:rFonts w:ascii="Times New Roman" w:hAnsi="Times New Roman"/>
                <w:sz w:val="24"/>
                <w:szCs w:val="24"/>
                <w:shd w:val="nil" w:color="auto" w:fill="auto"/>
                <w:rtl w:val="0"/>
                <w:lang w:val="en-US"/>
              </w:rPr>
              <w:t>Adopt climate-smart technology and make them available to women farmers in order for them to be used to boost food production.</w:t>
            </w:r>
          </w:p>
          <w:p>
            <w:pPr>
              <w:pStyle w:val="List Paragraph"/>
              <w:numPr>
                <w:ilvl w:val="0"/>
                <w:numId w:val="32"/>
              </w:numPr>
              <w:bidi w:val="0"/>
              <w:spacing w:after="0" w:line="240" w:lineRule="auto"/>
              <w:ind w:right="0"/>
              <w:jc w:val="both"/>
              <w:rPr>
                <w:sz w:val="24"/>
                <w:szCs w:val="24"/>
                <w:rtl w:val="0"/>
                <w:lang w:val="en-US"/>
              </w:rPr>
            </w:pPr>
            <w:r>
              <w:rPr>
                <w:rFonts w:ascii="Times New Roman" w:hAnsi="Times New Roman"/>
                <w:sz w:val="24"/>
                <w:szCs w:val="24"/>
                <w:shd w:val="nil" w:color="auto" w:fill="auto"/>
                <w:rtl w:val="0"/>
                <w:lang w:val="en-US"/>
              </w:rPr>
              <w:t>Invests in agricultural processing</w:t>
            </w:r>
          </w:p>
        </w:tc>
      </w:tr>
      <w:tr>
        <w:tblPrEx>
          <w:shd w:val="clear" w:color="auto" w:fill="cdd4e9"/>
        </w:tblPrEx>
        <w:trPr>
          <w:trHeight w:val="4241"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Peace building and conflict resolution</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shd w:val="clear" w:color="auto" w:fill="edfaff"/>
              </w:rPr>
            </w:pPr>
            <w:r>
              <w:rPr>
                <w:rFonts w:ascii="Times New Roman" w:hAnsi="Times New Roman"/>
                <w:sz w:val="24"/>
                <w:szCs w:val="24"/>
                <w:shd w:val="nil" w:color="auto" w:fill="auto"/>
                <w:rtl w:val="0"/>
                <w:lang w:val="en-US"/>
              </w:rPr>
              <w:t>The County Government commits to:</w:t>
            </w:r>
            <w:r>
              <w:rPr>
                <w:shd w:val="clear" w:color="auto" w:fill="edfaff"/>
                <w:rtl w:val="0"/>
                <w:lang w:val="en-US"/>
              </w:rPr>
              <w:t xml:space="preserve"> </w:t>
            </w:r>
          </w:p>
          <w:p>
            <w:pPr>
              <w:pStyle w:val="List Paragraph"/>
              <w:numPr>
                <w:ilvl w:val="0"/>
                <w:numId w:val="3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Reduce conflict through allocating resources equitably to all zones and communities, as specified in the CIDP. </w:t>
            </w:r>
          </w:p>
          <w:p>
            <w:pPr>
              <w:pStyle w:val="List Paragraph"/>
              <w:numPr>
                <w:ilvl w:val="0"/>
                <w:numId w:val="3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Intentionally involve women in community-level peace round tables, circles, and committees, as well as efforts. </w:t>
            </w:r>
          </w:p>
          <w:p>
            <w:pPr>
              <w:pStyle w:val="List Paragraph"/>
              <w:numPr>
                <w:ilvl w:val="0"/>
                <w:numId w:val="3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Expand the use of gender-transformative alternative dispute resolution mechanisms (ADRM) to avoid, manage, and resolve intra- and inter-community conflict.</w:t>
            </w:r>
          </w:p>
        </w:tc>
      </w:tr>
      <w:tr>
        <w:tblPrEx>
          <w:shd w:val="clear" w:color="auto" w:fill="cdd4e9"/>
        </w:tblPrEx>
        <w:trPr>
          <w:trHeight w:val="3041"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Leadership and governance</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shd w:val="nil" w:color="auto" w:fill="auto"/>
              </w:rPr>
            </w:pPr>
            <w:r>
              <w:rPr>
                <w:rFonts w:ascii="Times New Roman" w:hAnsi="Times New Roman"/>
                <w:sz w:val="24"/>
                <w:szCs w:val="24"/>
                <w:shd w:val="nil" w:color="auto" w:fill="auto"/>
                <w:rtl w:val="0"/>
                <w:lang w:val="en-US"/>
              </w:rPr>
              <w:t>The County Government commits to:</w:t>
            </w:r>
            <w:r>
              <w:rPr>
                <w:shd w:val="nil" w:color="auto" w:fill="auto"/>
                <w:rtl w:val="0"/>
                <w:lang w:val="en-US"/>
              </w:rPr>
              <w:t xml:space="preserve"> </w:t>
            </w:r>
          </w:p>
          <w:p>
            <w:pPr>
              <w:pStyle w:val="List Paragraph"/>
              <w:numPr>
                <w:ilvl w:val="0"/>
                <w:numId w:val="3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service charters for all Departments and Boards to ensure greater adherence to the ideals of fairness, respect, equality, dignity, and accountability.</w:t>
            </w:r>
          </w:p>
          <w:p>
            <w:pPr>
              <w:pStyle w:val="List Paragraph"/>
              <w:numPr>
                <w:ilvl w:val="0"/>
                <w:numId w:val="3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Develop</w:t>
            </w:r>
            <w:r>
              <w:rPr>
                <w:rFonts w:ascii="Times New Roman" w:hAnsi="Times New Roman"/>
                <w:sz w:val="24"/>
                <w:szCs w:val="24"/>
                <w:shd w:val="nil" w:color="auto" w:fill="auto"/>
                <w:rtl w:val="0"/>
                <w:lang w:val="en-US"/>
              </w:rPr>
              <w:t xml:space="preserve"> an accountability matrix </w:t>
            </w:r>
            <w:r>
              <w:rPr>
                <w:rFonts w:ascii="Times New Roman" w:hAnsi="Times New Roman"/>
                <w:sz w:val="24"/>
                <w:szCs w:val="24"/>
                <w:shd w:val="nil" w:color="auto" w:fill="auto"/>
                <w:rtl w:val="0"/>
                <w:lang w:val="en-US"/>
              </w:rPr>
              <w:t>depicting gender mainstreaming adherence by a</w:t>
            </w:r>
            <w:r>
              <w:rPr>
                <w:rFonts w:ascii="Times New Roman" w:hAnsi="Times New Roman"/>
                <w:sz w:val="24"/>
                <w:szCs w:val="24"/>
                <w:shd w:val="nil" w:color="auto" w:fill="auto"/>
                <w:rtl w:val="0"/>
                <w:lang w:val="en-US"/>
              </w:rPr>
              <w:t>ll Departments, Boards, and Committees</w:t>
            </w:r>
            <w:r>
              <w:rPr>
                <w:rFonts w:ascii="Times New Roman" w:hAnsi="Times New Roman"/>
                <w:sz w:val="24"/>
                <w:szCs w:val="24"/>
                <w:shd w:val="nil" w:color="auto" w:fill="auto"/>
                <w:rtl w:val="0"/>
                <w:lang w:val="en-US"/>
              </w:rPr>
              <w:t>.</w:t>
            </w:r>
          </w:p>
        </w:tc>
      </w:tr>
      <w:tr>
        <w:tblPrEx>
          <w:shd w:val="clear" w:color="auto" w:fill="cdd4e9"/>
        </w:tblPrEx>
        <w:trPr>
          <w:trHeight w:val="3041"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Water and sanitation</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shd w:val="nil" w:color="auto" w:fill="auto"/>
              </w:rPr>
            </w:pPr>
            <w:r>
              <w:rPr>
                <w:rFonts w:ascii="Times New Roman" w:hAnsi="Times New Roman"/>
                <w:sz w:val="24"/>
                <w:szCs w:val="24"/>
                <w:shd w:val="nil" w:color="auto" w:fill="auto"/>
                <w:rtl w:val="0"/>
                <w:lang w:val="en-US"/>
              </w:rPr>
              <w:t>The County Government commits to:</w:t>
            </w:r>
            <w:r>
              <w:rPr>
                <w:shd w:val="nil" w:color="auto" w:fill="auto"/>
                <w:rtl w:val="0"/>
                <w:lang w:val="en-US"/>
              </w:rPr>
              <w:t xml:space="preserve"> </w:t>
            </w:r>
          </w:p>
          <w:p>
            <w:pPr>
              <w:pStyle w:val="List Paragraph"/>
              <w:numPr>
                <w:ilvl w:val="0"/>
                <w:numId w:val="3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Treat water as the ultimate economic, social, and environmental resource; </w:t>
            </w:r>
          </w:p>
          <w:p>
            <w:pPr>
              <w:pStyle w:val="List Paragraph"/>
              <w:numPr>
                <w:ilvl w:val="0"/>
                <w:numId w:val="3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Develop gender-transformative water resource management policies and regulatory frameworks.</w:t>
            </w:r>
          </w:p>
          <w:p>
            <w:pPr>
              <w:pStyle w:val="List Paragraph"/>
              <w:numPr>
                <w:ilvl w:val="0"/>
                <w:numId w:val="3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Recognise the importance of women in the provision, management, and protection of water and sanitation resources.</w:t>
            </w:r>
          </w:p>
        </w:tc>
      </w:tr>
      <w:tr>
        <w:tblPrEx>
          <w:shd w:val="clear" w:color="auto" w:fill="cdd4e9"/>
        </w:tblPrEx>
        <w:trPr>
          <w:trHeight w:val="3900"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Land, environment, and natural resources</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The County Government commits to:</w:t>
            </w:r>
          </w:p>
          <w:p>
            <w:pPr>
              <w:pStyle w:val="List Paragraph"/>
              <w:numPr>
                <w:ilvl w:val="0"/>
                <w:numId w:val="36"/>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Teach women the importance of community land registration, protection, management, and administration.</w:t>
            </w:r>
          </w:p>
          <w:p>
            <w:pPr>
              <w:pStyle w:val="List Paragraph"/>
              <w:numPr>
                <w:ilvl w:val="0"/>
                <w:numId w:val="36"/>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Make certain that communal land registration is  gender inclusive.</w:t>
            </w:r>
          </w:p>
          <w:p>
            <w:pPr>
              <w:pStyle w:val="List Paragraph"/>
              <w:numPr>
                <w:ilvl w:val="0"/>
                <w:numId w:val="36"/>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Intentionally involve women in environmental repair and conservation.</w:t>
            </w:r>
          </w:p>
          <w:p>
            <w:pPr>
              <w:pStyle w:val="List Paragraph"/>
              <w:numPr>
                <w:ilvl w:val="0"/>
                <w:numId w:val="36"/>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Involve women in the climate change fund to help with mitigation efforts.</w:t>
            </w:r>
          </w:p>
        </w:tc>
      </w:tr>
      <w:tr>
        <w:tblPrEx>
          <w:shd w:val="clear" w:color="auto" w:fill="cdd4e9"/>
        </w:tblPrEx>
        <w:trPr>
          <w:trHeight w:val="6900"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Early childhood development</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The County Government commits to:</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Enact the ECD Bill, into law</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Create guidelines for fair access to ECD and pre-primary education; </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 Invest in educator training.</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Invest in ECD facilities to make them more conducive to child training.</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Making schools more child-centered and gender-sensitive, with a strong connection to the community's life and environment.</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Recruiting and educating gender and child rights-aware instructors.</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Encourage girls to participate in sports by promoting them in school.</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Removing gender bias from textbooks</w:t>
            </w:r>
            <w:r>
              <w:rPr>
                <w:rFonts w:ascii="Times New Roman" w:hAnsi="Times New Roman"/>
                <w:sz w:val="24"/>
                <w:szCs w:val="24"/>
                <w:shd w:val="nil" w:color="auto" w:fill="auto"/>
                <w:rtl w:val="0"/>
                <w:lang w:val="en-US"/>
              </w:rPr>
              <w:t>,</w:t>
            </w:r>
            <w:r>
              <w:rPr>
                <w:rFonts w:ascii="Times New Roman" w:hAnsi="Times New Roman"/>
                <w:sz w:val="24"/>
                <w:szCs w:val="24"/>
                <w:shd w:val="nil" w:color="auto" w:fill="auto"/>
                <w:rtl w:val="0"/>
                <w:lang w:val="en-US"/>
              </w:rPr>
              <w:t xml:space="preserve"> educational resources</w:t>
            </w:r>
            <w:r>
              <w:rPr>
                <w:rFonts w:ascii="Times New Roman" w:hAnsi="Times New Roman"/>
                <w:sz w:val="24"/>
                <w:szCs w:val="24"/>
                <w:shd w:val="nil" w:color="auto" w:fill="auto"/>
                <w:rtl w:val="0"/>
                <w:lang w:val="en-US"/>
              </w:rPr>
              <w:t xml:space="preserve"> and pedagogy.</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Putting ECD centres closer to people's homes.</w:t>
            </w:r>
          </w:p>
          <w:p>
            <w:pPr>
              <w:pStyle w:val="List Paragraph"/>
              <w:numPr>
                <w:ilvl w:val="0"/>
                <w:numId w:val="3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Invest in child care facilities and homecraft centres.</w:t>
            </w:r>
          </w:p>
        </w:tc>
      </w:tr>
      <w:tr>
        <w:tblPrEx>
          <w:shd w:val="clear" w:color="auto" w:fill="cdd4e9"/>
        </w:tblPrEx>
        <w:trPr>
          <w:trHeight w:val="7500"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Technical Vocational and Education Training</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The County Government commits to:</w:t>
            </w:r>
          </w:p>
          <w:p>
            <w:pPr>
              <w:pStyle w:val="List Paragraph"/>
              <w:numPr>
                <w:ilvl w:val="0"/>
                <w:numId w:val="3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Ensure that all female and male youth have equal access to affordable and high-quality technical, vocational, and post</w:t>
            </w:r>
            <w:r>
              <w:rPr>
                <w:rFonts w:ascii="Times New Roman" w:hAnsi="Times New Roman"/>
                <w:sz w:val="24"/>
                <w:szCs w:val="24"/>
                <w:shd w:val="nil" w:color="auto" w:fill="auto"/>
                <w:rtl w:val="0"/>
                <w:lang w:val="en-US"/>
              </w:rPr>
              <w:t>-</w:t>
            </w:r>
            <w:r>
              <w:rPr>
                <w:rFonts w:ascii="Times New Roman" w:hAnsi="Times New Roman"/>
                <w:sz w:val="24"/>
                <w:szCs w:val="24"/>
                <w:shd w:val="nil" w:color="auto" w:fill="auto"/>
                <w:rtl w:val="0"/>
                <w:lang w:val="en-US"/>
              </w:rPr>
              <w:t>secondary education.</w:t>
            </w:r>
          </w:p>
          <w:p>
            <w:pPr>
              <w:pStyle w:val="List Paragraph"/>
              <w:numPr>
                <w:ilvl w:val="0"/>
                <w:numId w:val="3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Mentoring and career counselling to encourage more girls to register.</w:t>
            </w:r>
          </w:p>
          <w:p>
            <w:pPr>
              <w:pStyle w:val="List Paragraph"/>
              <w:numPr>
                <w:ilvl w:val="0"/>
                <w:numId w:val="3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Offer scholarships, internships, and other forms of </w:t>
            </w:r>
            <w:r>
              <w:rPr>
                <w:rFonts w:ascii="Times New Roman" w:hAnsi="Times New Roman"/>
                <w:sz w:val="24"/>
                <w:szCs w:val="24"/>
                <w:shd w:val="nil" w:color="auto" w:fill="auto"/>
                <w:rtl w:val="0"/>
                <w:lang w:val="en-US"/>
              </w:rPr>
              <w:t>incentives</w:t>
            </w:r>
            <w:r>
              <w:rPr>
                <w:rFonts w:ascii="Times New Roman" w:hAnsi="Times New Roman"/>
                <w:sz w:val="24"/>
                <w:szCs w:val="24"/>
                <w:shd w:val="nil" w:color="auto" w:fill="auto"/>
                <w:rtl w:val="0"/>
                <w:lang w:val="en-US"/>
              </w:rPr>
              <w:t xml:space="preserve"> including provision of </w:t>
            </w:r>
            <w:r>
              <w:rPr>
                <w:rFonts w:ascii="Times New Roman" w:hAnsi="Times New Roman"/>
                <w:sz w:val="24"/>
                <w:szCs w:val="24"/>
                <w:shd w:val="nil" w:color="auto" w:fill="auto"/>
                <w:rtl w:val="0"/>
                <w:lang w:val="en-US"/>
              </w:rPr>
              <w:t>bursaries</w:t>
            </w:r>
            <w:r>
              <w:rPr>
                <w:rFonts w:ascii="Times New Roman" w:hAnsi="Times New Roman"/>
                <w:sz w:val="24"/>
                <w:szCs w:val="24"/>
                <w:shd w:val="nil" w:color="auto" w:fill="auto"/>
                <w:rtl w:val="0"/>
                <w:lang w:val="en-US"/>
              </w:rPr>
              <w:t xml:space="preserve"> to encourage more women and vulnerable groups to pursue careers in VETC.</w:t>
            </w:r>
          </w:p>
          <w:p>
            <w:pPr>
              <w:pStyle w:val="List Paragraph"/>
              <w:numPr>
                <w:ilvl w:val="0"/>
                <w:numId w:val="3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Job creation and planned placement of female graduates in the workplace.</w:t>
            </w:r>
          </w:p>
          <w:p>
            <w:pPr>
              <w:pStyle w:val="List Paragraph"/>
              <w:numPr>
                <w:ilvl w:val="0"/>
                <w:numId w:val="3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The provision of gender-sensitive modern technical skills.</w:t>
            </w:r>
          </w:p>
          <w:p>
            <w:pPr>
              <w:pStyle w:val="List Paragraph"/>
              <w:numPr>
                <w:ilvl w:val="0"/>
                <w:numId w:val="3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Recruiting and promoting more VETC instructors to train students.</w:t>
            </w:r>
          </w:p>
          <w:p>
            <w:pPr>
              <w:pStyle w:val="List Paragraph"/>
              <w:numPr>
                <w:ilvl w:val="0"/>
                <w:numId w:val="3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Promoting societal mentality change/civic education programmes geared on technical skills.</w:t>
            </w:r>
          </w:p>
          <w:p>
            <w:pPr>
              <w:pStyle w:val="List Paragraph"/>
              <w:numPr>
                <w:ilvl w:val="0"/>
                <w:numId w:val="3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To entice students, rename courses like tailoring and dressmaking to Fashion design.</w:t>
            </w:r>
          </w:p>
        </w:tc>
      </w:tr>
      <w:tr>
        <w:tblPrEx>
          <w:shd w:val="clear" w:color="auto" w:fill="cdd4e9"/>
        </w:tblPrEx>
        <w:trPr>
          <w:trHeight w:val="6041"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ICT &amp; Media</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shd w:val="nil" w:color="auto" w:fill="auto"/>
              </w:rPr>
            </w:pPr>
            <w:r>
              <w:rPr>
                <w:rFonts w:ascii="Times New Roman" w:hAnsi="Times New Roman"/>
                <w:sz w:val="24"/>
                <w:szCs w:val="24"/>
                <w:shd w:val="nil" w:color="auto" w:fill="auto"/>
                <w:rtl w:val="0"/>
                <w:lang w:val="en-US"/>
              </w:rPr>
              <w:t>The County Government commits to:</w:t>
            </w:r>
            <w:r>
              <w:rPr>
                <w:shd w:val="nil" w:color="auto" w:fill="auto"/>
                <w:rtl w:val="0"/>
                <w:lang w:val="en-US"/>
              </w:rPr>
              <w:t xml:space="preserve"> </w:t>
            </w:r>
          </w:p>
          <w:p>
            <w:pPr>
              <w:pStyle w:val="List Paragraph"/>
              <w:numPr>
                <w:ilvl w:val="0"/>
                <w:numId w:val="3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Allow women and men equitable access to ICT as a crucial resource for development.</w:t>
            </w:r>
          </w:p>
          <w:p>
            <w:pPr>
              <w:pStyle w:val="List Paragraph"/>
              <w:numPr>
                <w:ilvl w:val="0"/>
                <w:numId w:val="3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Reduce unfavourable media depictions of gender roles and gender issues.</w:t>
            </w:r>
          </w:p>
          <w:p>
            <w:pPr>
              <w:pStyle w:val="List Paragraph"/>
              <w:numPr>
                <w:ilvl w:val="0"/>
                <w:numId w:val="3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Remove gender-biased language from local media.</w:t>
            </w:r>
          </w:p>
          <w:p>
            <w:pPr>
              <w:pStyle w:val="List Paragraph"/>
              <w:numPr>
                <w:ilvl w:val="0"/>
                <w:numId w:val="3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Using gender-disaggregated data in media reporting; </w:t>
            </w:r>
          </w:p>
          <w:p>
            <w:pPr>
              <w:pStyle w:val="List Paragraph"/>
              <w:numPr>
                <w:ilvl w:val="0"/>
                <w:numId w:val="3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Sharing information through appropriate medium that is accessible to both men and women.</w:t>
            </w:r>
          </w:p>
          <w:p>
            <w:pPr>
              <w:pStyle w:val="List Paragraph"/>
              <w:numPr>
                <w:ilvl w:val="0"/>
                <w:numId w:val="3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a gender responsive e platform for out of school youth in Migori County.</w:t>
            </w:r>
          </w:p>
          <w:p>
            <w:pPr>
              <w:pStyle w:val="List Paragraph"/>
              <w:numPr>
                <w:ilvl w:val="0"/>
                <w:numId w:val="3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Train women, and men on responsible use of social media for business upscaling.</w:t>
            </w:r>
          </w:p>
        </w:tc>
      </w:tr>
      <w:tr>
        <w:tblPrEx>
          <w:shd w:val="clear" w:color="auto" w:fill="cdd4e9"/>
        </w:tblPrEx>
        <w:trPr>
          <w:trHeight w:val="5100"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Social services and Inequalities</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The County Government commits to:</w:t>
            </w:r>
          </w:p>
          <w:p>
            <w:pPr>
              <w:pStyle w:val="List Paragraph"/>
              <w:numPr>
                <w:ilvl w:val="0"/>
                <w:numId w:val="4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Ensure equal rights for all people with disabilities and others who may face other forms of social inequity.</w:t>
            </w:r>
          </w:p>
          <w:p>
            <w:pPr>
              <w:pStyle w:val="List Paragraph"/>
              <w:numPr>
                <w:ilvl w:val="0"/>
                <w:numId w:val="4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conditions that will allow disabled people and other vulnerable groups equal access to opportunities in education, the economy, and cultural life.</w:t>
            </w:r>
          </w:p>
          <w:p>
            <w:pPr>
              <w:pStyle w:val="List Paragraph"/>
              <w:numPr>
                <w:ilvl w:val="0"/>
                <w:numId w:val="4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Provide an acceptable minimum level of universal access to water, sanitation, transportation networks, and general protection of life and property for both men and women.</w:t>
            </w:r>
          </w:p>
          <w:p>
            <w:pPr>
              <w:pStyle w:val="List Paragraph"/>
              <w:numPr>
                <w:ilvl w:val="0"/>
                <w:numId w:val="4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Strengthen institutions in charge of providing social services to the underprivileged.</w:t>
            </w:r>
          </w:p>
        </w:tc>
      </w:tr>
      <w:tr>
        <w:tblPrEx>
          <w:shd w:val="clear" w:color="auto" w:fill="cdd4e9"/>
        </w:tblPrEx>
        <w:trPr>
          <w:trHeight w:val="2700" w:hRule="atLeast"/>
        </w:trPr>
        <w:tc>
          <w:tcPr>
            <w:tcW w:type="dxa" w:w="4508"/>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tabs>
                <w:tab w:val="left" w:pos="1100"/>
              </w:tabs>
              <w:spacing w:after="0" w:line="240" w:lineRule="auto"/>
              <w:jc w:val="both"/>
            </w:pPr>
            <w:r>
              <w:rPr>
                <w:rFonts w:ascii="Times New Roman" w:hAnsi="Times New Roman"/>
                <w:b w:val="1"/>
                <w:bCs w:val="1"/>
                <w:sz w:val="24"/>
                <w:szCs w:val="24"/>
                <w:shd w:val="nil" w:color="auto" w:fill="auto"/>
                <w:rtl w:val="0"/>
                <w:lang w:val="en-US"/>
              </w:rPr>
              <w:t>Sports, talents, and recreational services</w:t>
            </w:r>
          </w:p>
        </w:tc>
        <w:tc>
          <w:tcPr>
            <w:tcW w:type="dxa" w:w="4509"/>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The County Government commits to:</w:t>
            </w:r>
          </w:p>
          <w:p>
            <w:pPr>
              <w:pStyle w:val="List Paragraph"/>
              <w:numPr>
                <w:ilvl w:val="0"/>
                <w:numId w:val="4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Make gender-responsive investments in sports development, competitiveness, and talent development, which will aid in breaking down obstacles that lead to poverty, ignorance, and conflict, as well as pressure on government service delivery.</w:t>
            </w:r>
          </w:p>
        </w:tc>
      </w:tr>
    </w:tbl>
    <w:p>
      <w:pPr>
        <w:pStyle w:val="Heading 2"/>
        <w:widowControl w:val="0"/>
        <w:spacing w:line="240" w:lineRule="auto"/>
        <w:jc w:val="center"/>
        <w:rPr>
          <w:b w:val="1"/>
          <w:bCs w:val="1"/>
        </w:rPr>
      </w:pPr>
    </w:p>
    <w:p>
      <w:pPr>
        <w:pStyle w:val="Body"/>
        <w:ind w:left="720" w:firstLine="0"/>
        <w:jc w:val="both"/>
        <w:rPr>
          <w:rFonts w:ascii="Times New Roman" w:cs="Times New Roman" w:hAnsi="Times New Roman" w:eastAsia="Times New Roman"/>
          <w:sz w:val="24"/>
          <w:szCs w:val="24"/>
        </w:rPr>
      </w:pPr>
    </w:p>
    <w:p>
      <w:pPr>
        <w:pStyle w:val="Heading 2"/>
      </w:pPr>
      <w:bookmarkStart w:name="_Toc12" w:id="14"/>
      <w:r>
        <w:rPr>
          <w:rFonts w:cs="Arial Unicode MS" w:eastAsia="Arial Unicode MS"/>
          <w:rtl w:val="0"/>
          <w:lang w:val="en-US"/>
        </w:rPr>
        <w:t>3.2 Policy Actions</w:t>
      </w:r>
      <w:bookmarkEnd w:id="14"/>
    </w:p>
    <w:tbl>
      <w:tblPr>
        <w:tblW w:w="90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005"/>
        <w:gridCol w:w="3006"/>
        <w:gridCol w:w="3006"/>
      </w:tblGrid>
      <w:tr>
        <w:tblPrEx>
          <w:shd w:val="clear" w:color="auto" w:fill="cdd4e9"/>
        </w:tblPrEx>
        <w:trPr>
          <w:trHeight w:val="900" w:hRule="atLeast"/>
        </w:trPr>
        <w:tc>
          <w:tcPr>
            <w:tcW w:type="dxa" w:w="3005"/>
            <w:tcBorders>
              <w:top w:val="single" w:color="000000" w:sz="4" w:space="0" w:shadow="0" w:frame="0"/>
              <w:left w:val="single" w:color="000000" w:sz="4" w:space="0" w:shadow="0" w:frame="0"/>
              <w:bottom w:val="single" w:color="666666"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jc w:val="both"/>
            </w:pPr>
            <w:r>
              <w:rPr>
                <w:rFonts w:ascii="Times New Roman" w:hAnsi="Times New Roman"/>
                <w:outline w:val="0"/>
                <w:color w:val="ffffff"/>
                <w:sz w:val="24"/>
                <w:szCs w:val="24"/>
                <w:u w:color="ffffff"/>
                <w:shd w:val="nil" w:color="auto" w:fill="auto"/>
                <w:rtl w:val="0"/>
                <w:lang w:val="en-US"/>
                <w14:textFill>
                  <w14:solidFill>
                    <w14:srgbClr w14:val="FFFFFF"/>
                  </w14:solidFill>
                </w14:textFill>
              </w:rPr>
              <w:t>Theme Policy</w:t>
            </w:r>
            <w:r>
              <w:rPr>
                <w:rFonts w:ascii="Times New Roman" w:cs="Times New Roman" w:hAnsi="Times New Roman" w:eastAsia="Times New Roman"/>
                <w:outline w:val="0"/>
                <w:color w:val="ffffff"/>
                <w:sz w:val="24"/>
                <w:szCs w:val="24"/>
                <w:u w:color="ffffff"/>
                <w:shd w:val="nil" w:color="auto" w:fill="auto"/>
                <w14:textFill>
                  <w14:solidFill>
                    <w14:srgbClr w14:val="FFFFFF"/>
                  </w14:solidFill>
                </w14:textFill>
              </w:rPr>
            </w:r>
          </w:p>
        </w:tc>
        <w:tc>
          <w:tcPr>
            <w:tcW w:type="dxa" w:w="3006"/>
            <w:tcBorders>
              <w:top w:val="single" w:color="000000" w:sz="4" w:space="0" w:shadow="0" w:frame="0"/>
              <w:left w:val="single" w:color="000000" w:sz="4" w:space="0" w:shadow="0" w:frame="0"/>
              <w:bottom w:val="single" w:color="666666"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outline w:val="0"/>
                <w:color w:val="ffffff"/>
                <w:sz w:val="24"/>
                <w:szCs w:val="24"/>
                <w:u w:color="ffffff"/>
                <w:shd w:val="nil" w:color="auto" w:fill="auto"/>
                <w14:textFill>
                  <w14:solidFill>
                    <w14:srgbClr w14:val="FFFFFF"/>
                  </w14:solidFill>
                </w14:textFill>
              </w:rPr>
            </w:pPr>
            <w:r>
              <w:rPr>
                <w:rFonts w:ascii="Times New Roman" w:hAnsi="Times New Roman"/>
                <w:outline w:val="0"/>
                <w:color w:val="ffffff"/>
                <w:sz w:val="24"/>
                <w:szCs w:val="24"/>
                <w:u w:color="ffffff"/>
                <w:shd w:val="nil" w:color="auto" w:fill="auto"/>
                <w:rtl w:val="0"/>
                <w:lang w:val="en-US"/>
                <w14:textFill>
                  <w14:solidFill>
                    <w14:srgbClr w14:val="FFFFFF"/>
                  </w14:solidFill>
                </w14:textFill>
              </w:rPr>
              <w:t>Objective</w:t>
            </w:r>
          </w:p>
          <w:p>
            <w:pPr>
              <w:pStyle w:val="Body"/>
              <w:bidi w:val="0"/>
              <w:spacing w:after="0" w:line="240" w:lineRule="auto"/>
              <w:ind w:left="0" w:right="0" w:firstLine="0"/>
              <w:jc w:val="both"/>
              <w:rPr>
                <w:rtl w:val="0"/>
              </w:rPr>
            </w:pPr>
            <w:r>
              <w:rPr>
                <w:rFonts w:ascii="Times New Roman" w:hAnsi="Times New Roman"/>
                <w:outline w:val="0"/>
                <w:color w:val="ffffff"/>
                <w:sz w:val="24"/>
                <w:szCs w:val="24"/>
                <w:u w:color="ffffff"/>
                <w:shd w:val="nil" w:color="auto" w:fill="auto"/>
                <w:rtl w:val="0"/>
                <w:lang w:val="en-US"/>
                <w14:textFill>
                  <w14:solidFill>
                    <w14:srgbClr w14:val="FFFFFF"/>
                  </w14:solidFill>
                </w14:textFill>
              </w:rPr>
              <w:t>Focus</w:t>
            </w:r>
            <w:r>
              <w:rPr>
                <w:rFonts w:ascii="Times New Roman" w:cs="Times New Roman" w:hAnsi="Times New Roman" w:eastAsia="Times New Roman"/>
                <w:outline w:val="0"/>
                <w:color w:val="ffffff"/>
                <w:sz w:val="24"/>
                <w:szCs w:val="24"/>
                <w:u w:color="ffffff"/>
                <w:shd w:val="nil" w:color="auto" w:fill="auto"/>
                <w14:textFill>
                  <w14:solidFill>
                    <w14:srgbClr w14:val="FFFFFF"/>
                  </w14:solidFill>
                </w14:textFill>
              </w:rPr>
            </w:r>
          </w:p>
        </w:tc>
        <w:tc>
          <w:tcPr>
            <w:tcW w:type="dxa" w:w="3006"/>
            <w:tcBorders>
              <w:top w:val="single" w:color="000000" w:sz="4" w:space="0" w:shadow="0" w:frame="0"/>
              <w:left w:val="single" w:color="000000" w:sz="4" w:space="0" w:shadow="0" w:frame="0"/>
              <w:bottom w:val="single" w:color="666666"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jc w:val="both"/>
            </w:pPr>
            <w:r>
              <w:rPr>
                <w:rFonts w:ascii="Times New Roman" w:hAnsi="Times New Roman"/>
                <w:outline w:val="0"/>
                <w:color w:val="ffffff"/>
                <w:sz w:val="24"/>
                <w:szCs w:val="24"/>
                <w:u w:color="ffffff"/>
                <w:shd w:val="nil" w:color="auto" w:fill="auto"/>
                <w:rtl w:val="0"/>
                <w:lang w:val="en-US"/>
                <w14:textFill>
                  <w14:solidFill>
                    <w14:srgbClr w14:val="FFFFFF"/>
                  </w14:solidFill>
                </w14:textFill>
              </w:rPr>
              <w:t>Policy Actions</w:t>
            </w:r>
          </w:p>
        </w:tc>
      </w:tr>
      <w:tr>
        <w:tblPrEx>
          <w:shd w:val="clear" w:color="auto" w:fill="cdd4e9"/>
        </w:tblPrEx>
        <w:trPr>
          <w:trHeight w:val="66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Labour and</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economy</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Creation of a robust entrepreneurial, business, and job-creation environment</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List Paragraph"/>
              <w:numPr>
                <w:ilvl w:val="0"/>
                <w:numId w:val="42"/>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 xml:space="preserve">Research </w:t>
            </w:r>
          </w:p>
          <w:p>
            <w:pPr>
              <w:pStyle w:val="List Paragraph"/>
              <w:numPr>
                <w:ilvl w:val="0"/>
                <w:numId w:val="4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Training and the development of gendered human potential</w:t>
            </w:r>
          </w:p>
          <w:p>
            <w:pPr>
              <w:pStyle w:val="List Paragraph"/>
              <w:numPr>
                <w:ilvl w:val="0"/>
                <w:numId w:val="4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 Equal employment opportunities for all; and </w:t>
            </w:r>
          </w:p>
          <w:p>
            <w:pPr>
              <w:pStyle w:val="List Paragraph"/>
              <w:numPr>
                <w:ilvl w:val="0"/>
                <w:numId w:val="4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Gender-sensitive one-stop friendly helpful business information centres to enable women to acquire tender information.</w:t>
            </w:r>
          </w:p>
          <w:p>
            <w:pPr>
              <w:pStyle w:val="List Paragraph"/>
              <w:numPr>
                <w:ilvl w:val="0"/>
                <w:numId w:val="4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All youth receive specialised career/technical training.</w:t>
            </w:r>
          </w:p>
          <w:p>
            <w:pPr>
              <w:pStyle w:val="List Paragraph"/>
              <w:numPr>
                <w:ilvl w:val="0"/>
                <w:numId w:val="4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Throughout the budget cycle, gender-responsive budgeting, oversight, and reporting.</w:t>
            </w:r>
          </w:p>
        </w:tc>
      </w:tr>
      <w:tr>
        <w:tblPrEx>
          <w:shd w:val="clear" w:color="auto" w:fill="cdd4e9"/>
        </w:tblPrEx>
        <w:trPr>
          <w:trHeight w:val="129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Access to Health</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Care</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Help couples and individuals achieve their reproductive objectives within a framework that supports optimal health, responsibility, and family well-being, as well as respect the dignity of all people and their right to choose the number, spacing, and timing of their children's births.</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List Paragraph"/>
              <w:numPr>
                <w:ilvl w:val="0"/>
                <w:numId w:val="43"/>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 xml:space="preserve">Accessible, cheap, acceptable, and convenient reproductive health care services, including family planning, for women, men, and adolescents (girls and boys). </w:t>
            </w:r>
          </w:p>
          <w:p>
            <w:pPr>
              <w:pStyle w:val="List Paragraph"/>
              <w:numPr>
                <w:ilvl w:val="0"/>
                <w:numId w:val="4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 Include males in reproductive health decisions.</w:t>
            </w:r>
          </w:p>
          <w:p>
            <w:pPr>
              <w:pStyle w:val="List Paragraph"/>
              <w:numPr>
                <w:ilvl w:val="0"/>
                <w:numId w:val="4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Provide health services to satisfy the health care requirements of adolescents, particularly in counselling, family planning, and other sexuality concerns.</w:t>
            </w:r>
          </w:p>
          <w:p>
            <w:pPr>
              <w:pStyle w:val="List Paragraph"/>
              <w:numPr>
                <w:ilvl w:val="0"/>
                <w:numId w:val="4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Provide medical workers who are gender-</w:t>
            </w:r>
            <w:r>
              <w:rPr>
                <w:rFonts w:ascii="Times New Roman" w:hAnsi="Times New Roman"/>
                <w:sz w:val="24"/>
                <w:szCs w:val="24"/>
                <w:shd w:val="nil" w:color="auto" w:fill="auto"/>
                <w:rtl w:val="0"/>
                <w:lang w:val="en-US"/>
              </w:rPr>
              <w:t>sensitive</w:t>
            </w:r>
            <w:r>
              <w:rPr>
                <w:rFonts w:ascii="Times New Roman" w:hAnsi="Times New Roman"/>
                <w:sz w:val="24"/>
                <w:szCs w:val="24"/>
                <w:shd w:val="nil" w:color="auto" w:fill="auto"/>
                <w:rtl w:val="0"/>
                <w:lang w:val="en-US"/>
              </w:rPr>
              <w:t xml:space="preserve"> and attentive to gender concerns in health care delivery. </w:t>
            </w:r>
          </w:p>
          <w:p>
            <w:pPr>
              <w:pStyle w:val="List Paragraph"/>
              <w:numPr>
                <w:ilvl w:val="0"/>
                <w:numId w:val="4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 Promote responsible sexuality, which allows for equitable and mutual respect between gender groups, </w:t>
            </w:r>
            <w:r>
              <w:rPr>
                <w:rFonts w:ascii="Times New Roman" w:hAnsi="Times New Roman"/>
                <w:sz w:val="24"/>
                <w:szCs w:val="24"/>
                <w:shd w:val="nil" w:color="auto" w:fill="auto"/>
                <w:rtl w:val="0"/>
                <w:lang w:val="en-US"/>
              </w:rPr>
              <w:t>therefore</w:t>
            </w:r>
            <w:r>
              <w:rPr>
                <w:rFonts w:ascii="Times New Roman" w:hAnsi="Times New Roman"/>
                <w:sz w:val="24"/>
                <w:szCs w:val="24"/>
                <w:shd w:val="nil" w:color="auto" w:fill="auto"/>
                <w:rtl w:val="0"/>
                <w:lang w:val="en-US"/>
              </w:rPr>
              <w:t xml:space="preserve"> improving the quality of life of</w:t>
            </w:r>
            <w:r>
              <w:rPr>
                <w:rFonts w:ascii="Times New Roman" w:hAnsi="Times New Roman"/>
                <w:sz w:val="24"/>
                <w:szCs w:val="24"/>
                <w:shd w:val="nil" w:color="auto" w:fill="auto"/>
                <w:rtl w:val="0"/>
                <w:lang w:val="en-US"/>
              </w:rPr>
              <w:t xml:space="preserve"> women and men.</w:t>
            </w:r>
          </w:p>
          <w:p>
            <w:pPr>
              <w:pStyle w:val="List Paragraph"/>
              <w:numPr>
                <w:ilvl w:val="0"/>
                <w:numId w:val="4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 order to prevent adolescent pregnancies, incorporate sexual education into youth programmes and school curricula.</w:t>
            </w:r>
          </w:p>
        </w:tc>
      </w:tr>
      <w:tr>
        <w:tblPrEx>
          <w:shd w:val="clear" w:color="auto" w:fill="cdd4e9"/>
        </w:tblPrEx>
        <w:trPr>
          <w:trHeight w:val="138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Elimination of</w:t>
            </w:r>
          </w:p>
          <w:p>
            <w:pPr>
              <w:pStyle w:val="Body"/>
              <w:bidi w:val="0"/>
              <w:spacing w:after="0" w:line="240" w:lineRule="auto"/>
              <w:ind w:left="0" w:right="0" w:firstLine="0"/>
              <w:jc w:val="both"/>
              <w:rPr>
                <w:rFonts w:ascii="Times New Roman" w:cs="Times New Roman" w:hAnsi="Times New Roman" w:eastAsia="Times New Roman"/>
                <w:b w:val="1"/>
                <w:bCs w:val="1"/>
                <w:sz w:val="24"/>
                <w:szCs w:val="24"/>
                <w:shd w:val="nil" w:color="auto" w:fill="auto"/>
                <w:rtl w:val="0"/>
              </w:rPr>
            </w:pPr>
            <w:r>
              <w:rPr>
                <w:rFonts w:ascii="Times New Roman" w:hAnsi="Times New Roman"/>
                <w:b w:val="1"/>
                <w:bCs w:val="1"/>
                <w:sz w:val="24"/>
                <w:szCs w:val="24"/>
                <w:shd w:val="nil" w:color="auto" w:fill="auto"/>
                <w:rtl w:val="0"/>
                <w:lang w:val="en-US"/>
              </w:rPr>
              <w:t>sexual gender-</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based violence</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Enhance preventive, protective, supportive, and transformative environments in order to gradually abolish Sexual Gender-Based Violence (SGBV).</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List Paragraph"/>
              <w:numPr>
                <w:ilvl w:val="0"/>
                <w:numId w:val="44"/>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Comprehensive SGBV education and awareness campaign.</w:t>
            </w:r>
          </w:p>
          <w:p>
            <w:pPr>
              <w:pStyle w:val="List Paragraph"/>
              <w:numPr>
                <w:ilvl w:val="0"/>
                <w:numId w:val="4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SGBV at-risk population identification mechanism and community engagement plan for protection and response.</w:t>
            </w:r>
          </w:p>
          <w:p>
            <w:pPr>
              <w:pStyle w:val="List Paragraph"/>
              <w:numPr>
                <w:ilvl w:val="0"/>
                <w:numId w:val="4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Increase collaboration and coordination among actors to improve law and policy enforcement, referrals, and the provision of integrated short-term response and post-SGBV support services to survivors.</w:t>
            </w:r>
          </w:p>
          <w:p>
            <w:pPr>
              <w:pStyle w:val="List Paragraph"/>
              <w:numPr>
                <w:ilvl w:val="0"/>
                <w:numId w:val="4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Increase the capacity of hospitals and police to respond quickly </w:t>
            </w:r>
            <w:r>
              <w:rPr>
                <w:rFonts w:ascii="Times New Roman" w:hAnsi="Times New Roman"/>
                <w:sz w:val="24"/>
                <w:szCs w:val="24"/>
                <w:shd w:val="nil" w:color="auto" w:fill="auto"/>
                <w:rtl w:val="0"/>
                <w:lang w:val="en-US"/>
              </w:rPr>
              <w:t xml:space="preserve">and appropriately </w:t>
            </w:r>
            <w:r>
              <w:rPr>
                <w:rFonts w:ascii="Times New Roman" w:hAnsi="Times New Roman"/>
                <w:sz w:val="24"/>
                <w:szCs w:val="24"/>
                <w:shd w:val="nil" w:color="auto" w:fill="auto"/>
                <w:rtl w:val="0"/>
                <w:lang w:val="en-US"/>
              </w:rPr>
              <w:t>to SGBV.</w:t>
            </w:r>
          </w:p>
          <w:p>
            <w:pPr>
              <w:pStyle w:val="List Paragraph"/>
              <w:numPr>
                <w:ilvl w:val="0"/>
                <w:numId w:val="4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a basic package of services for SGBV survivors, including economic empowerment.</w:t>
            </w:r>
          </w:p>
          <w:p>
            <w:pPr>
              <w:pStyle w:val="List Paragraph"/>
              <w:numPr>
                <w:ilvl w:val="0"/>
                <w:numId w:val="4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Improve programme quality by adopting and maintaining suitable SGBV data for policy implementation, data collecting and analysis, and collaboration with institutions and partners on SGBV research and documentation.</w:t>
            </w:r>
          </w:p>
          <w:p>
            <w:pPr>
              <w:pStyle w:val="List Paragraph"/>
              <w:numPr>
                <w:ilvl w:val="0"/>
                <w:numId w:val="4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Improve SGBV programme management by investing in capacity-building and expertise across relevant actors and departments.</w:t>
            </w:r>
          </w:p>
          <w:p>
            <w:pPr>
              <w:pStyle w:val="List Paragraph"/>
              <w:numPr>
                <w:ilvl w:val="0"/>
                <w:numId w:val="4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Establish minimum service delivery standards across sectors and improve comprehensive care and support for survivors, perpetrators, and their families.</w:t>
            </w:r>
          </w:p>
          <w:p>
            <w:pPr>
              <w:pStyle w:val="List Paragraph"/>
              <w:numPr>
                <w:ilvl w:val="0"/>
                <w:numId w:val="4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Advocate for the development of Gender-Based Violence and Victims Support Units (GBVVSU) in police stations, SGBV centres as safe temporary residences, a county toll-free 24/7 telephone hotline and online service for SGBV victims/survivors, and free legal help for SGBV victims.</w:t>
            </w:r>
          </w:p>
          <w:p>
            <w:pPr>
              <w:pStyle w:val="List Paragraph"/>
              <w:numPr>
                <w:ilvl w:val="0"/>
                <w:numId w:val="4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workplace rules for SGBV prevention and response in both public and private settings.</w:t>
            </w:r>
          </w:p>
        </w:tc>
      </w:tr>
      <w:tr>
        <w:tblPrEx>
          <w:shd w:val="clear" w:color="auto" w:fill="cdd4e9"/>
        </w:tblPrEx>
        <w:trPr>
          <w:trHeight w:val="138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Food and</w:t>
            </w:r>
          </w:p>
          <w:p>
            <w:pPr>
              <w:pStyle w:val="Body"/>
              <w:bidi w:val="0"/>
              <w:spacing w:after="0" w:line="240" w:lineRule="auto"/>
              <w:ind w:left="0" w:right="0" w:firstLine="0"/>
              <w:jc w:val="both"/>
              <w:rPr>
                <w:rFonts w:ascii="Times New Roman" w:cs="Times New Roman" w:hAnsi="Times New Roman" w:eastAsia="Times New Roman"/>
                <w:b w:val="1"/>
                <w:bCs w:val="1"/>
                <w:sz w:val="24"/>
                <w:szCs w:val="24"/>
                <w:shd w:val="nil" w:color="auto" w:fill="auto"/>
                <w:rtl w:val="0"/>
              </w:rPr>
            </w:pPr>
            <w:r>
              <w:rPr>
                <w:rFonts w:ascii="Times New Roman" w:hAnsi="Times New Roman"/>
                <w:b w:val="1"/>
                <w:bCs w:val="1"/>
                <w:sz w:val="24"/>
                <w:szCs w:val="24"/>
                <w:shd w:val="nil" w:color="auto" w:fill="auto"/>
                <w:rtl w:val="0"/>
                <w:lang w:val="en-US"/>
              </w:rPr>
              <w:t>Nutritional</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Security</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Increase women's potential to contribute to greater output, market access, and family income.</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List Paragraph"/>
              <w:numPr>
                <w:ilvl w:val="0"/>
                <w:numId w:val="45"/>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 xml:space="preserve">Invest in gender studies, baselines, and agriculture research, as well as undertake </w:t>
            </w:r>
            <w:r>
              <w:rPr>
                <w:rFonts w:ascii="Times New Roman" w:hAnsi="Times New Roman"/>
                <w:sz w:val="24"/>
                <w:szCs w:val="24"/>
                <w:shd w:val="nil" w:color="auto" w:fill="auto"/>
                <w:rtl w:val="0"/>
                <w:lang w:val="en-US"/>
              </w:rPr>
              <w:t xml:space="preserve">gendered </w:t>
            </w:r>
            <w:r>
              <w:rPr>
                <w:rFonts w:ascii="Times New Roman" w:hAnsi="Times New Roman"/>
                <w:sz w:val="24"/>
                <w:szCs w:val="24"/>
                <w:shd w:val="nil" w:color="auto" w:fill="auto"/>
                <w:rtl w:val="0"/>
                <w:lang w:val="en-US"/>
              </w:rPr>
              <w:t>value chain analysis, to inform the formulation of plans, strategies, and policies to accelerate agricultural growth.</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Implement trade agreements signed by Kenya with EAC/COMESA, the EU, and EPAs, as well as formulate strategies and plans for utilising these instruments.</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Encourage the commercialization and agro-processing of milk, horticulture, poultry, and other items in which women and youth are primarily involved and have been shown to increase their economic empowerment.</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and implement milk marketing policies, including livestock policies.</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Assist agricultural SMEs in gaining access to funding, input and equipment, processing, and post-harvest aggregation technology. Because the majority of women work in agriculture, this will have a multiplier impact.</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Create a framework for the development, empowerment, and sharing of market information and networking among women entrepreneurs, as well as capacity building for women and youth. </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Encourage the implementation of female-friendly technology that save time and lead to greater productivity, such as irrigation.</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Form a solid partnership with the Kenya Biashara Fund to expand access to business credit.</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Assist female-headed households in obtaining title deeds to land.</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Raise awareness about how to determine family food requirements so that families can plan ahead of time and save food.</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Make agricultural services more accessible to women by adapting them to their specific requirements.</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Educate women on food and nutrition, and urge communities to try new foods (promote food consumption behaviour change).</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Gender-sensitive nutrition education to promote and sustain healthier eating habits. </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Give women enough access to production inputs and extended support services.</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Encourage food crop production at the Manyatta level through incentives, and provide communities with preservation and storage expertise and infrastructure.</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Educate women on the nutritional needs of different age groups and genders, as well as cooking methods that do not deplete nutrients from food.</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Gathering data on gender variations in food security, food production, and food intake, as well as knowledge of nourishing native flora and habitats. </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Teaching women about food processing, storage, and cooking in order to increase nutritional diversity and crop marketability.</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Improving women's access to land, financial services, and alternative income sources.</w:t>
            </w:r>
          </w:p>
          <w:p>
            <w:pPr>
              <w:pStyle w:val="List Paragraph"/>
              <w:numPr>
                <w:ilvl w:val="0"/>
                <w:numId w:val="45"/>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Gender inclusion in social and economic strategies.</w:t>
            </w:r>
          </w:p>
        </w:tc>
      </w:tr>
      <w:tr>
        <w:tblPrEx>
          <w:shd w:val="clear" w:color="auto" w:fill="cdd4e9"/>
        </w:tblPrEx>
        <w:trPr>
          <w:trHeight w:val="57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Peace Building and Conflict</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Resolution</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Encourage gender equality and women's empowerment in the promotion of peaceful coexistence among communities and clans.</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List Paragraph"/>
              <w:numPr>
                <w:ilvl w:val="0"/>
                <w:numId w:val="46"/>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Consider increasing women's participation in community and county-level peace-building groups and alternative conflict resolution processes.</w:t>
            </w:r>
          </w:p>
          <w:p>
            <w:pPr>
              <w:pStyle w:val="List Paragraph"/>
              <w:numPr>
                <w:ilvl w:val="0"/>
                <w:numId w:val="46"/>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Target women as resource individuals in attempts to create peace-building capabilities.</w:t>
            </w:r>
          </w:p>
          <w:p>
            <w:pPr>
              <w:pStyle w:val="List Paragraph"/>
              <w:numPr>
                <w:ilvl w:val="0"/>
                <w:numId w:val="46"/>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Objective attitude change programmes aimed at increasing women's engagement in peacekeeping and security activities.</w:t>
            </w:r>
          </w:p>
        </w:tc>
      </w:tr>
      <w:tr>
        <w:tblPrEx>
          <w:shd w:val="clear" w:color="auto" w:fill="cdd4e9"/>
        </w:tblPrEx>
        <w:trPr>
          <w:trHeight w:val="138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rFonts w:ascii="Times New Roman" w:hAnsi="Times New Roman"/>
                <w:b w:val="1"/>
                <w:bCs w:val="1"/>
                <w:sz w:val="24"/>
                <w:szCs w:val="24"/>
                <w:shd w:val="nil" w:color="auto" w:fill="auto"/>
                <w:rtl w:val="0"/>
                <w:lang w:val="en-US"/>
              </w:rPr>
              <w:t>Leadership and decision making</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Encourage women to take on leadership and decision-making roles at all levels.</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List Paragraph"/>
              <w:numPr>
                <w:ilvl w:val="0"/>
                <w:numId w:val="47"/>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 xml:space="preserve">Advocate for the enactment and enforcement of applicable laws that are consistent with the Constitution and national guidelines and standards, especially in traditional land management committees. Women must be included. </w:t>
            </w:r>
          </w:p>
          <w:p>
            <w:pPr>
              <w:pStyle w:val="List Paragraph"/>
              <w:numPr>
                <w:ilvl w:val="0"/>
                <w:numId w:val="4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effective mechanisms for incorporating gender into governance, decision-making, and leadership, such as governance indicators, gender audits, and institutional and governance reviews.</w:t>
            </w:r>
          </w:p>
          <w:p>
            <w:pPr>
              <w:pStyle w:val="List Paragraph"/>
              <w:numPr>
                <w:ilvl w:val="0"/>
                <w:numId w:val="4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Foster new attitudes, values, and behaviours, as well as a culture of gender equality.</w:t>
            </w:r>
          </w:p>
          <w:p>
            <w:pPr>
              <w:pStyle w:val="List Paragraph"/>
              <w:numPr>
                <w:ilvl w:val="0"/>
                <w:numId w:val="4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Integrate gender equality and social inclusion in government.</w:t>
            </w:r>
          </w:p>
          <w:p>
            <w:pPr>
              <w:pStyle w:val="List Paragraph"/>
              <w:numPr>
                <w:ilvl w:val="0"/>
                <w:numId w:val="4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and implement a Gender and Social Inclusion Capacity Building and Awareness Raising Programme for the County Executive and the general public.</w:t>
            </w:r>
          </w:p>
          <w:p>
            <w:pPr>
              <w:pStyle w:val="List Paragraph"/>
              <w:numPr>
                <w:ilvl w:val="0"/>
                <w:numId w:val="4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Increase women's capacity so that they are comfortable with and capable of participating in activities that they have not previously participated in.</w:t>
            </w:r>
          </w:p>
          <w:p>
            <w:pPr>
              <w:pStyle w:val="List Paragraph"/>
              <w:numPr>
                <w:ilvl w:val="0"/>
                <w:numId w:val="4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Ensure that political environments are free of gender discrimination and violence by enforcing existing norms and legislation that prohibit electoral violence through various political party organisations.</w:t>
            </w:r>
          </w:p>
          <w:p>
            <w:pPr>
              <w:pStyle w:val="List Paragraph"/>
              <w:numPr>
                <w:ilvl w:val="0"/>
                <w:numId w:val="47"/>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Close gender education inequalities by addressing social and cultural issues that contribute to differences in educational attainment for all genders.</w:t>
            </w:r>
          </w:p>
        </w:tc>
      </w:tr>
      <w:tr>
        <w:tblPrEx>
          <w:shd w:val="clear" w:color="auto" w:fill="cdd4e9"/>
        </w:tblPrEx>
        <w:trPr>
          <w:trHeight w:val="138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ECD Education</w:t>
            </w:r>
          </w:p>
          <w:p>
            <w:pPr>
              <w:pStyle w:val="Body"/>
              <w:bidi w:val="0"/>
              <w:spacing w:after="0" w:line="240" w:lineRule="auto"/>
              <w:ind w:left="0" w:right="0" w:firstLine="0"/>
              <w:jc w:val="both"/>
              <w:rPr>
                <w:rFonts w:ascii="Times New Roman" w:cs="Times New Roman" w:hAnsi="Times New Roman" w:eastAsia="Times New Roman"/>
                <w:b w:val="1"/>
                <w:bCs w:val="1"/>
                <w:sz w:val="24"/>
                <w:szCs w:val="24"/>
                <w:shd w:val="nil" w:color="auto" w:fill="auto"/>
                <w:rtl w:val="0"/>
              </w:rPr>
            </w:pPr>
            <w:r>
              <w:rPr>
                <w:rFonts w:ascii="Times New Roman" w:hAnsi="Times New Roman"/>
                <w:b w:val="1"/>
                <w:bCs w:val="1"/>
                <w:sz w:val="24"/>
                <w:szCs w:val="24"/>
                <w:shd w:val="nil" w:color="auto" w:fill="auto"/>
                <w:rtl w:val="0"/>
                <w:lang w:val="en-US"/>
              </w:rPr>
              <w:t>and Technical</w:t>
            </w:r>
          </w:p>
          <w:p>
            <w:pPr>
              <w:pStyle w:val="Body"/>
              <w:bidi w:val="0"/>
              <w:spacing w:after="0" w:line="240" w:lineRule="auto"/>
              <w:ind w:left="0" w:right="0" w:firstLine="0"/>
              <w:jc w:val="both"/>
              <w:rPr>
                <w:rFonts w:ascii="Times New Roman" w:cs="Times New Roman" w:hAnsi="Times New Roman" w:eastAsia="Times New Roman"/>
                <w:b w:val="1"/>
                <w:bCs w:val="1"/>
                <w:sz w:val="24"/>
                <w:szCs w:val="24"/>
                <w:shd w:val="nil" w:color="auto" w:fill="auto"/>
                <w:rtl w:val="0"/>
              </w:rPr>
            </w:pPr>
            <w:r>
              <w:rPr>
                <w:rFonts w:ascii="Times New Roman" w:hAnsi="Times New Roman"/>
                <w:b w:val="1"/>
                <w:bCs w:val="1"/>
                <w:sz w:val="24"/>
                <w:szCs w:val="24"/>
                <w:shd w:val="nil" w:color="auto" w:fill="auto"/>
                <w:rtl w:val="0"/>
                <w:lang w:val="en-US"/>
              </w:rPr>
              <w:t>Vocational</w:t>
            </w:r>
          </w:p>
          <w:p>
            <w:pPr>
              <w:pStyle w:val="Body"/>
              <w:bidi w:val="0"/>
              <w:spacing w:after="0" w:line="240" w:lineRule="auto"/>
              <w:ind w:left="0" w:right="0" w:firstLine="0"/>
              <w:jc w:val="both"/>
              <w:rPr>
                <w:rFonts w:ascii="Times New Roman" w:cs="Times New Roman" w:hAnsi="Times New Roman" w:eastAsia="Times New Roman"/>
                <w:b w:val="1"/>
                <w:bCs w:val="1"/>
                <w:sz w:val="24"/>
                <w:szCs w:val="24"/>
                <w:shd w:val="nil" w:color="auto" w:fill="auto"/>
                <w:rtl w:val="0"/>
              </w:rPr>
            </w:pPr>
            <w:r>
              <w:rPr>
                <w:rFonts w:ascii="Times New Roman" w:hAnsi="Times New Roman"/>
                <w:b w:val="1"/>
                <w:bCs w:val="1"/>
                <w:sz w:val="24"/>
                <w:szCs w:val="24"/>
                <w:shd w:val="nil" w:color="auto" w:fill="auto"/>
                <w:rtl w:val="0"/>
                <w:lang w:val="en-US"/>
              </w:rPr>
              <w:t>Education</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Training</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Gender responsiveness in increasing access to and quality education, as well as in developing technical and entrepreneurial labour and market-responsive male and female youth</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List Paragraph"/>
              <w:numPr>
                <w:ilvl w:val="0"/>
                <w:numId w:val="48"/>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Carry out research to inform investment programmes in ECD and VTEC education (infrastructure, instructors, equipment and machinery, teachers, learning materials, market-oriented courses).</w:t>
            </w:r>
          </w:p>
          <w:p>
            <w:pPr>
              <w:pStyle w:val="List Paragraph"/>
              <w:numPr>
                <w:ilvl w:val="0"/>
                <w:numId w:val="4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Encourage and provide incentives for women to pursue STEM courses and for men to pursue courses traditionally associated with women, such as hairdressing and dressmaking.</w:t>
            </w:r>
          </w:p>
          <w:p>
            <w:pPr>
              <w:pStyle w:val="List Paragraph"/>
              <w:numPr>
                <w:ilvl w:val="0"/>
                <w:numId w:val="4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Create and/or modify County VTEC strategy and strategic plan, and connect youth to apprenticeship possibilities available through government tender work. </w:t>
            </w:r>
          </w:p>
          <w:p>
            <w:pPr>
              <w:pStyle w:val="List Paragraph"/>
              <w:numPr>
                <w:ilvl w:val="0"/>
                <w:numId w:val="4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a civic education programme to combat unfavourable perceptions about VTEC. Connect this to formal education.</w:t>
            </w:r>
          </w:p>
          <w:p>
            <w:pPr>
              <w:pStyle w:val="List Paragraph"/>
              <w:numPr>
                <w:ilvl w:val="0"/>
                <w:numId w:val="48"/>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Enact legislation to create a County VTEC Authority to promote gender mainstreaming in access, quality, and relevance, as well as to coordinate the delivery of ECD and VTEC training.</w:t>
            </w:r>
          </w:p>
        </w:tc>
      </w:tr>
      <w:tr>
        <w:tblPrEx>
          <w:shd w:val="clear" w:color="auto" w:fill="cdd4e9"/>
        </w:tblPrEx>
        <w:trPr>
          <w:trHeight w:val="132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Water and</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Sanitation</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Encourage water management and social behaviour change in Migori County to eliminate open defecation.</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List Paragraph"/>
              <w:numPr>
                <w:ilvl w:val="0"/>
                <w:numId w:val="49"/>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Recognise that sustainable water resource development and management is a critical method to poverty eradication that requires equal involvement.</w:t>
            </w:r>
          </w:p>
          <w:p>
            <w:pPr>
              <w:pStyle w:val="List Paragraph"/>
              <w:numPr>
                <w:ilvl w:val="0"/>
                <w:numId w:val="4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Strengthening the capacities of Water Resource Users Associations (WRUA) and intentionally include women in decision-making and management.</w:t>
            </w:r>
          </w:p>
          <w:p>
            <w:pPr>
              <w:pStyle w:val="List Paragraph"/>
              <w:numPr>
                <w:ilvl w:val="0"/>
                <w:numId w:val="4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Encourage the use of less expensive latrine construction technologies in conjunction with sanitation behavioural change programmes to eliminate open defecation.</w:t>
            </w:r>
          </w:p>
          <w:p>
            <w:pPr>
              <w:pStyle w:val="List Paragraph"/>
              <w:numPr>
                <w:ilvl w:val="0"/>
                <w:numId w:val="4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Harness and dam water run-off to bring water closer to rural homes, hence shortening distances for women. </w:t>
            </w:r>
          </w:p>
          <w:p>
            <w:pPr>
              <w:pStyle w:val="List Paragraph"/>
              <w:numPr>
                <w:ilvl w:val="0"/>
                <w:numId w:val="4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Ensure gender equality on the board of directors and in the operations of Migori Water and Sewerage Company (MIWASCO).</w:t>
            </w:r>
          </w:p>
          <w:p>
            <w:pPr>
              <w:pStyle w:val="List Paragraph"/>
              <w:numPr>
                <w:ilvl w:val="0"/>
                <w:numId w:val="49"/>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Adopt water technologies that are user-friendly for both men and women.</w:t>
            </w:r>
          </w:p>
        </w:tc>
      </w:tr>
      <w:tr>
        <w:tblPrEx>
          <w:shd w:val="clear" w:color="auto" w:fill="cdd4e9"/>
        </w:tblPrEx>
        <w:trPr>
          <w:trHeight w:val="138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Land,</w:t>
            </w:r>
          </w:p>
          <w:p>
            <w:pPr>
              <w:pStyle w:val="Body"/>
              <w:bidi w:val="0"/>
              <w:spacing w:after="0" w:line="240" w:lineRule="auto"/>
              <w:ind w:left="0" w:right="0" w:firstLine="0"/>
              <w:jc w:val="both"/>
              <w:rPr>
                <w:rFonts w:ascii="Times New Roman" w:cs="Times New Roman" w:hAnsi="Times New Roman" w:eastAsia="Times New Roman"/>
                <w:b w:val="1"/>
                <w:bCs w:val="1"/>
                <w:sz w:val="24"/>
                <w:szCs w:val="24"/>
                <w:shd w:val="nil" w:color="auto" w:fill="auto"/>
                <w:rtl w:val="0"/>
              </w:rPr>
            </w:pPr>
            <w:r>
              <w:rPr>
                <w:rFonts w:ascii="Times New Roman" w:hAnsi="Times New Roman"/>
                <w:b w:val="1"/>
                <w:bCs w:val="1"/>
                <w:sz w:val="24"/>
                <w:szCs w:val="24"/>
                <w:shd w:val="nil" w:color="auto" w:fill="auto"/>
                <w:rtl w:val="0"/>
                <w:lang w:val="en-US"/>
              </w:rPr>
              <w:t>Environment,</w:t>
            </w:r>
          </w:p>
          <w:p>
            <w:pPr>
              <w:pStyle w:val="Body"/>
              <w:bidi w:val="0"/>
              <w:spacing w:after="0" w:line="240" w:lineRule="auto"/>
              <w:ind w:left="0" w:right="0" w:firstLine="0"/>
              <w:jc w:val="both"/>
              <w:rPr>
                <w:rFonts w:ascii="Times New Roman" w:cs="Times New Roman" w:hAnsi="Times New Roman" w:eastAsia="Times New Roman"/>
                <w:b w:val="1"/>
                <w:bCs w:val="1"/>
                <w:sz w:val="24"/>
                <w:szCs w:val="24"/>
                <w:shd w:val="nil" w:color="auto" w:fill="auto"/>
                <w:rtl w:val="0"/>
              </w:rPr>
            </w:pPr>
            <w:r>
              <w:rPr>
                <w:rFonts w:ascii="Times New Roman" w:hAnsi="Times New Roman"/>
                <w:b w:val="1"/>
                <w:bCs w:val="1"/>
                <w:sz w:val="24"/>
                <w:szCs w:val="24"/>
                <w:shd w:val="nil" w:color="auto" w:fill="auto"/>
                <w:rtl w:val="0"/>
                <w:lang w:val="en-US"/>
              </w:rPr>
              <w:t>and Natural</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Resources</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Improve men's and women's access to, control over, and ownership of land and resources, invest in resilience and capacity to mitigate climate change, and promote an effective gender-inclusive institutional framework for natural resource management for sustainable development.</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List Paragraph"/>
              <w:numPr>
                <w:ilvl w:val="0"/>
                <w:numId w:val="50"/>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Identify and address gender and socioeconomic discrepancies in women's and men's access to and control over resources, benefits, costs, and decision-making.</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Conduct research on resource mapping for existing natural resources to provide equal benefits.</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Empower and/or combine traditional and modern natural resource management organisations to administer and enforce range land management norms.</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Integrate gender considerations into environmental policies, programmes, and strategies.</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Encourage the use of alternative green energy, such as wind, solar, and mini-hydro power generation, to power the manyatta, as well as the promotion of improved cook stoves.</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Customise, accept, and enact Session Paper No. 3 of 2016 on National Climate Change Framework Policy, and prepare an action plan for implementation.</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Create public awareness campaigns and promote environmentally friendly practises such as conservation agriculture, climate-smart agriculture, water harvesting and storage, and so on. </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Address grazing resource management firmly in order to minimise unneeded resource shortages, social friction, and insecurity from nearby communities.</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Provide financial and technical assistance for the registration of communal land in order to ensure that women are involved in its maintenance and ownership.</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Use the law to ensure that widows do not lose their family property. </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Establish an advising centre where widows can seek legal counsel on how to protect their land before remarrying. Include community knowledge and education about laws and how to use them to protect their land.</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Encourage women's participation in formal and informal decision-making structures and governance processes including land, environment, and natural resource management.</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strategies to reduce gender disparity in resource access and ownership, decision-making, and benefit-sharing.</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Include women's roles as natural resource managers, users, and beneficiaries.</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Take proactive steps to protect women from resource-related violence and other security threats.</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Identify and remove impediments to creating enabling conditions for women's productive and sustainable use of natural resources.</w:t>
            </w:r>
          </w:p>
          <w:p>
            <w:pPr>
              <w:pStyle w:val="List Paragraph"/>
              <w:numPr>
                <w:ilvl w:val="0"/>
                <w:numId w:val="50"/>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Enact legislation to protect crop-producing areas.</w:t>
            </w:r>
          </w:p>
        </w:tc>
      </w:tr>
      <w:tr>
        <w:tblPrEx>
          <w:shd w:val="clear" w:color="auto" w:fill="cdd4e9"/>
        </w:tblPrEx>
        <w:trPr>
          <w:trHeight w:val="138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rFonts w:ascii="Times New Roman" w:hAnsi="Times New Roman"/>
                <w:b w:val="1"/>
                <w:bCs w:val="1"/>
                <w:sz w:val="24"/>
                <w:szCs w:val="24"/>
                <w:shd w:val="nil" w:color="auto" w:fill="auto"/>
                <w:rtl w:val="0"/>
                <w:lang w:val="en-US"/>
              </w:rPr>
              <w:t>Information Communication Technology (ICT) &amp; Media</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Respect for women's and men's human rights, including freedom of expression, and the removal of all negative/ stereotyped portrayals of gender issues at various levels of information dissemination and communication</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List Paragraph"/>
              <w:numPr>
                <w:ilvl w:val="0"/>
                <w:numId w:val="51"/>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Publicly promote gender and women's concerns in the media.</w:t>
            </w:r>
          </w:p>
          <w:p>
            <w:pPr>
              <w:pStyle w:val="List Paragraph"/>
              <w:numPr>
                <w:ilvl w:val="0"/>
                <w:numId w:val="5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Use of gender-disaggregated statistics in all development strategies, activities, resource distribution, and impact monitoring and reporting in the media.</w:t>
            </w:r>
          </w:p>
          <w:p>
            <w:pPr>
              <w:pStyle w:val="List Paragraph"/>
              <w:numPr>
                <w:ilvl w:val="0"/>
                <w:numId w:val="5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Reduce unfavourable depictions of gender roles and gender issues in the media through training and developing the County's public relations and communication officers.</w:t>
            </w:r>
          </w:p>
          <w:p>
            <w:pPr>
              <w:pStyle w:val="List Paragraph"/>
              <w:numPr>
                <w:ilvl w:val="0"/>
                <w:numId w:val="5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Remove gender-based barriers to information technology access.</w:t>
            </w:r>
          </w:p>
          <w:p>
            <w:pPr>
              <w:pStyle w:val="List Paragraph"/>
              <w:numPr>
                <w:ilvl w:val="0"/>
                <w:numId w:val="5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Involve women in ICT policy, planning, and programme and activity implementation.</w:t>
            </w:r>
          </w:p>
          <w:p>
            <w:pPr>
              <w:pStyle w:val="List Paragraph"/>
              <w:numPr>
                <w:ilvl w:val="0"/>
                <w:numId w:val="5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Assist women and men in the informal sector in gaining access to ICT as a crucial resource and connecting with marketplaces. </w:t>
            </w:r>
          </w:p>
          <w:p>
            <w:pPr>
              <w:pStyle w:val="List Paragraph"/>
              <w:numPr>
                <w:ilvl w:val="0"/>
                <w:numId w:val="51"/>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 Increase the capacity of men and women to utilise ICT, particularly through adult and continuing education programmes.</w:t>
            </w:r>
          </w:p>
        </w:tc>
      </w:tr>
      <w:tr>
        <w:tblPrEx>
          <w:shd w:val="clear" w:color="auto" w:fill="cdd4e9"/>
        </w:tblPrEx>
        <w:trPr>
          <w:trHeight w:val="138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Social Services and Inequalities (Vulnerable Groups and Inequalities in</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Society)</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Ensure the realisation of the rights of all people with disabilities, as well as anyone who may face other forms of social inequity in Migori County, and their involvement in all sectors of social, economic, and cultural life.</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cccccc"/>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sz w:val="24"/>
                <w:szCs w:val="24"/>
                <w:shd w:val="nil" w:color="auto" w:fill="auto"/>
              </w:rPr>
            </w:pPr>
            <w:r>
              <w:rPr>
                <w:rFonts w:ascii="Times New Roman" w:hAnsi="Times New Roman"/>
                <w:sz w:val="24"/>
                <w:szCs w:val="24"/>
                <w:shd w:val="nil" w:color="auto" w:fill="auto"/>
                <w:rtl w:val="0"/>
                <w:lang w:val="en-US"/>
              </w:rPr>
              <w:t>Policy Initiatives</w:t>
            </w:r>
          </w:p>
          <w:p>
            <w:pPr>
              <w:pStyle w:val="List Paragraph"/>
              <w:numPr>
                <w:ilvl w:val="0"/>
                <w:numId w:val="5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Incorporate gender into the actions of institutions in charge of providing social amenities in the County, such as water, health care, roads, and other social infrastructures.</w:t>
            </w:r>
          </w:p>
          <w:p>
            <w:pPr>
              <w:pStyle w:val="List Paragraph"/>
              <w:numPr>
                <w:ilvl w:val="0"/>
                <w:numId w:val="5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Incorporate gender problems into existing sectoral strategies to better fulfil the practical and strategic gender requirements of women.</w:t>
            </w:r>
          </w:p>
          <w:p>
            <w:pPr>
              <w:pStyle w:val="List Paragraph"/>
              <w:numPr>
                <w:ilvl w:val="0"/>
                <w:numId w:val="5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Strengthen the capacity of those responsible with delivering social amenities to citizens, particularly the impoverished.</w:t>
            </w:r>
          </w:p>
          <w:p>
            <w:pPr>
              <w:pStyle w:val="List Paragraph"/>
              <w:numPr>
                <w:ilvl w:val="0"/>
                <w:numId w:val="5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Meet the needs of all people with disabilities and those experiencing other types of social inequity across sectors (transport and other social infrastructure).</w:t>
            </w:r>
          </w:p>
          <w:p>
            <w:pPr>
              <w:pStyle w:val="List Paragraph"/>
              <w:numPr>
                <w:ilvl w:val="0"/>
                <w:numId w:val="5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Eliminate all types of discrimination against the disabled and those who face various forms of social inequity, such as the elderly, widows, and single moms, among others.</w:t>
            </w:r>
          </w:p>
          <w:p>
            <w:pPr>
              <w:pStyle w:val="List Paragraph"/>
              <w:numPr>
                <w:ilvl w:val="0"/>
                <w:numId w:val="5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Uphold the rights of the disabled and other vulnerable groups to protection and non-discrimination.</w:t>
            </w:r>
          </w:p>
          <w:p>
            <w:pPr>
              <w:pStyle w:val="List Paragraph"/>
              <w:numPr>
                <w:ilvl w:val="0"/>
                <w:numId w:val="5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 xml:space="preserve">Through affirmative action, provide people with disabilities with equitable access to opportunities such as education and employment. </w:t>
            </w:r>
          </w:p>
          <w:p>
            <w:pPr>
              <w:pStyle w:val="List Paragraph"/>
              <w:numPr>
                <w:ilvl w:val="0"/>
                <w:numId w:val="52"/>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Establish and deepen partnerships with civil society organisations that engage with the physically challenged (those with special needs).</w:t>
            </w:r>
          </w:p>
          <w:p>
            <w:pPr>
              <w:pStyle w:val="Body"/>
              <w:spacing w:after="0" w:line="240" w:lineRule="auto"/>
              <w:jc w:val="both"/>
              <w:rPr>
                <w:rFonts w:ascii="Times New Roman" w:cs="Times New Roman" w:hAnsi="Times New Roman" w:eastAsia="Times New Roman"/>
                <w:sz w:val="24"/>
                <w:szCs w:val="24"/>
                <w:shd w:val="nil" w:color="auto" w:fill="auto"/>
                <w:lang w:val="en-US"/>
              </w:rPr>
            </w:pPr>
          </w:p>
          <w:p>
            <w:pPr>
              <w:pStyle w:val="Body"/>
              <w:bidi w:val="0"/>
              <w:spacing w:after="0" w:line="240" w:lineRule="auto"/>
              <w:ind w:left="0" w:right="0" w:firstLine="0"/>
              <w:jc w:val="both"/>
              <w:rPr>
                <w:rFonts w:ascii="Times New Roman" w:cs="Times New Roman" w:hAnsi="Times New Roman" w:eastAsia="Times New Roman"/>
                <w:sz w:val="24"/>
                <w:szCs w:val="24"/>
                <w:shd w:val="nil" w:color="auto" w:fill="auto"/>
                <w:rtl w:val="0"/>
              </w:rPr>
            </w:pPr>
            <w:r>
              <w:rPr>
                <w:rFonts w:ascii="Times New Roman" w:hAnsi="Times New Roman"/>
                <w:sz w:val="24"/>
                <w:szCs w:val="24"/>
                <w:shd w:val="nil" w:color="auto" w:fill="auto"/>
                <w:rtl w:val="0"/>
                <w:lang w:val="en-US"/>
              </w:rPr>
              <w:t>Strategies of Implementation:</w:t>
            </w:r>
          </w:p>
          <w:p>
            <w:pPr>
              <w:pStyle w:val="Body"/>
              <w:spacing w:after="0" w:line="240" w:lineRule="auto"/>
              <w:jc w:val="both"/>
              <w:rPr>
                <w:rFonts w:ascii="Times New Roman" w:cs="Times New Roman" w:hAnsi="Times New Roman" w:eastAsia="Times New Roman"/>
                <w:sz w:val="24"/>
                <w:szCs w:val="24"/>
                <w:shd w:val="nil" w:color="auto" w:fill="auto"/>
                <w:lang w:val="en-US"/>
              </w:rPr>
            </w:pPr>
          </w:p>
          <w:p>
            <w:pPr>
              <w:pStyle w:val="List Paragraph"/>
              <w:numPr>
                <w:ilvl w:val="0"/>
                <w:numId w:val="5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Provisions for the unique needs of people with disabilities, such as the provision of special physical structures in public areas, appropriate transportation facilities, and so on, in the County.</w:t>
            </w:r>
          </w:p>
          <w:p>
            <w:pPr>
              <w:pStyle w:val="List Paragraph"/>
              <w:numPr>
                <w:ilvl w:val="0"/>
                <w:numId w:val="5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The government would establish community-based rehabilitation centres to ensure the inclusion of disabled people into society.</w:t>
            </w:r>
          </w:p>
          <w:p>
            <w:pPr>
              <w:pStyle w:val="List Paragraph"/>
              <w:numPr>
                <w:ilvl w:val="0"/>
                <w:numId w:val="5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Ensure that sign language interpreters are available in police stations, courts, and health facilities to assist in the management of GBV cases for mentally challenged survivors.</w:t>
            </w:r>
          </w:p>
          <w:p>
            <w:pPr>
              <w:pStyle w:val="List Paragraph"/>
              <w:numPr>
                <w:ilvl w:val="0"/>
                <w:numId w:val="5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Work with relevant partners to build the capacity of institutions and service providers dealing with SGBV for survivors with intellectual impairments in the health, prosecution, and judiciary sectors.</w:t>
            </w:r>
          </w:p>
          <w:p>
            <w:pPr>
              <w:pStyle w:val="List Paragraph"/>
              <w:numPr>
                <w:ilvl w:val="0"/>
                <w:numId w:val="5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Create special units in each sub-county to ensure that people with disabilities have access to education.</w:t>
            </w:r>
          </w:p>
          <w:p>
            <w:pPr>
              <w:pStyle w:val="List Paragraph"/>
              <w:numPr>
                <w:ilvl w:val="0"/>
                <w:numId w:val="53"/>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Ensure that PWDs are not viewed as a homogeneous group in order to meet their individual needs.</w:t>
            </w:r>
          </w:p>
        </w:tc>
      </w:tr>
      <w:tr>
        <w:tblPrEx>
          <w:shd w:val="clear" w:color="auto" w:fill="cdd4e9"/>
        </w:tblPrEx>
        <w:trPr>
          <w:trHeight w:val="8400" w:hRule="atLeast"/>
        </w:trPr>
        <w:tc>
          <w:tcPr>
            <w:tcW w:type="dxa" w:w="3005"/>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rPr>
                <w:rFonts w:ascii="Times New Roman" w:cs="Times New Roman" w:hAnsi="Times New Roman" w:eastAsia="Times New Roman"/>
                <w:b w:val="1"/>
                <w:bCs w:val="1"/>
                <w:sz w:val="24"/>
                <w:szCs w:val="24"/>
                <w:shd w:val="nil" w:color="auto" w:fill="auto"/>
              </w:rPr>
            </w:pPr>
            <w:r>
              <w:rPr>
                <w:rFonts w:ascii="Times New Roman" w:hAnsi="Times New Roman"/>
                <w:b w:val="1"/>
                <w:bCs w:val="1"/>
                <w:sz w:val="24"/>
                <w:szCs w:val="24"/>
                <w:shd w:val="nil" w:color="auto" w:fill="auto"/>
                <w:rtl w:val="0"/>
                <w:lang w:val="en-US"/>
              </w:rPr>
              <w:t>Sports, Talent</w:t>
            </w:r>
          </w:p>
          <w:p>
            <w:pPr>
              <w:pStyle w:val="Body"/>
              <w:bidi w:val="0"/>
              <w:spacing w:after="0" w:line="240" w:lineRule="auto"/>
              <w:ind w:left="0" w:right="0" w:firstLine="0"/>
              <w:jc w:val="both"/>
              <w:rPr>
                <w:rFonts w:ascii="Times New Roman" w:cs="Times New Roman" w:hAnsi="Times New Roman" w:eastAsia="Times New Roman"/>
                <w:b w:val="1"/>
                <w:bCs w:val="1"/>
                <w:sz w:val="24"/>
                <w:szCs w:val="24"/>
                <w:shd w:val="nil" w:color="auto" w:fill="auto"/>
                <w:rtl w:val="0"/>
              </w:rPr>
            </w:pPr>
            <w:r>
              <w:rPr>
                <w:rFonts w:ascii="Times New Roman" w:hAnsi="Times New Roman"/>
                <w:b w:val="1"/>
                <w:bCs w:val="1"/>
                <w:sz w:val="24"/>
                <w:szCs w:val="24"/>
                <w:shd w:val="nil" w:color="auto" w:fill="auto"/>
                <w:rtl w:val="0"/>
                <w:lang w:val="en-US"/>
              </w:rPr>
              <w:t>and Recreation</w:t>
            </w:r>
          </w:p>
          <w:p>
            <w:pPr>
              <w:pStyle w:val="Body"/>
              <w:bidi w:val="0"/>
              <w:spacing w:after="0" w:line="240" w:lineRule="auto"/>
              <w:ind w:left="0" w:right="0" w:firstLine="0"/>
              <w:jc w:val="both"/>
              <w:rPr>
                <w:rtl w:val="0"/>
              </w:rPr>
            </w:pPr>
            <w:r>
              <w:rPr>
                <w:rFonts w:ascii="Times New Roman" w:hAnsi="Times New Roman"/>
                <w:b w:val="1"/>
                <w:bCs w:val="1"/>
                <w:sz w:val="24"/>
                <w:szCs w:val="24"/>
                <w:shd w:val="nil" w:color="auto" w:fill="auto"/>
                <w:rtl w:val="0"/>
                <w:lang w:val="en-US"/>
              </w:rPr>
              <w:t>Services</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rFonts w:ascii="Times New Roman" w:hAnsi="Times New Roman"/>
                <w:sz w:val="24"/>
                <w:szCs w:val="24"/>
                <w:shd w:val="nil" w:color="auto" w:fill="auto"/>
                <w:rtl w:val="0"/>
                <w:lang w:val="en-US"/>
              </w:rPr>
              <w:t>Increase sports investments and funding allocation for youth talent development.</w:t>
            </w:r>
          </w:p>
        </w:tc>
        <w:tc>
          <w:tcPr>
            <w:tcW w:type="dxa" w:w="3006"/>
            <w:tcBorders>
              <w:top w:val="single" w:color="666666" w:sz="4" w:space="0" w:shadow="0" w:frame="0"/>
              <w:left w:val="single" w:color="666666" w:sz="4" w:space="0" w:shadow="0" w:frame="0"/>
              <w:bottom w:val="single" w:color="666666" w:sz="4" w:space="0" w:shadow="0" w:frame="0"/>
              <w:right w:val="single" w:color="666666" w:sz="4" w:space="0" w:shadow="0" w:frame="0"/>
            </w:tcBorders>
            <w:shd w:val="clear" w:color="auto" w:fill="auto"/>
            <w:tcMar>
              <w:top w:type="dxa" w:w="80"/>
              <w:left w:type="dxa" w:w="80"/>
              <w:bottom w:type="dxa" w:w="80"/>
              <w:right w:type="dxa" w:w="80"/>
            </w:tcMar>
            <w:vAlign w:val="top"/>
          </w:tcPr>
          <w:p>
            <w:pPr>
              <w:pStyle w:val="List Paragraph"/>
              <w:numPr>
                <w:ilvl w:val="0"/>
                <w:numId w:val="54"/>
              </w:numPr>
              <w:spacing w:after="0" w:line="240" w:lineRule="auto"/>
              <w:jc w:val="both"/>
              <w:rPr>
                <w:rFonts w:ascii="Times New Roman" w:hAnsi="Times New Roman"/>
                <w:sz w:val="24"/>
                <w:szCs w:val="24"/>
                <w:lang w:val="en-US"/>
              </w:rPr>
            </w:pPr>
            <w:r>
              <w:rPr>
                <w:rFonts w:ascii="Times New Roman" w:hAnsi="Times New Roman"/>
                <w:sz w:val="24"/>
                <w:szCs w:val="24"/>
                <w:shd w:val="nil" w:color="auto" w:fill="auto"/>
                <w:rtl w:val="0"/>
                <w:lang w:val="en-US"/>
              </w:rPr>
              <w:t>Encourage more boys, girls, and women to participate in a variety of appropriate sports and sporting activities.</w:t>
            </w:r>
          </w:p>
          <w:p>
            <w:pPr>
              <w:pStyle w:val="List Paragraph"/>
              <w:numPr>
                <w:ilvl w:val="0"/>
                <w:numId w:val="5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Increase the county budget for youth sports activities, with a focus on sports for women and people with disabilities.</w:t>
            </w:r>
          </w:p>
          <w:p>
            <w:pPr>
              <w:pStyle w:val="List Paragraph"/>
              <w:numPr>
                <w:ilvl w:val="0"/>
                <w:numId w:val="5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Enhance County facilities for female-dominated sports within the confines of the current sports infrastructure.</w:t>
            </w:r>
          </w:p>
          <w:p>
            <w:pPr>
              <w:pStyle w:val="List Paragraph"/>
              <w:numPr>
                <w:ilvl w:val="0"/>
                <w:numId w:val="5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Promote more gender-balanced boards and committees in sports governance.</w:t>
            </w:r>
          </w:p>
          <w:p>
            <w:pPr>
              <w:pStyle w:val="List Paragraph"/>
              <w:numPr>
                <w:ilvl w:val="0"/>
                <w:numId w:val="54"/>
              </w:numPr>
              <w:bidi w:val="0"/>
              <w:spacing w:after="0" w:line="240" w:lineRule="auto"/>
              <w:ind w:right="0"/>
              <w:jc w:val="both"/>
              <w:rPr>
                <w:rFonts w:ascii="Times New Roman" w:hAnsi="Times New Roman"/>
                <w:sz w:val="24"/>
                <w:szCs w:val="24"/>
                <w:rtl w:val="0"/>
                <w:lang w:val="en-US"/>
              </w:rPr>
            </w:pPr>
            <w:r>
              <w:rPr>
                <w:rFonts w:ascii="Times New Roman" w:hAnsi="Times New Roman"/>
                <w:sz w:val="24"/>
                <w:szCs w:val="24"/>
                <w:shd w:val="nil" w:color="auto" w:fill="auto"/>
                <w:rtl w:val="0"/>
                <w:lang w:val="en-US"/>
              </w:rPr>
              <w:t>Increase media coverage and profile of Migori County's sports and skills.</w:t>
            </w:r>
          </w:p>
        </w:tc>
      </w:tr>
    </w:tbl>
    <w:p>
      <w:pPr>
        <w:pStyle w:val="Heading 2"/>
        <w:widowControl w:val="0"/>
        <w:spacing w:line="240" w:lineRule="auto"/>
      </w:pPr>
    </w:p>
    <w:p>
      <w:pPr>
        <w:pStyle w:val="Body"/>
        <w:jc w:val="both"/>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p>
    <w:p>
      <w:pPr>
        <w:pStyle w:val="Body"/>
        <w:jc w:val="both"/>
        <w:rPr>
          <w:rFonts w:ascii="Times New Roman" w:cs="Times New Roman" w:hAnsi="Times New Roman" w:eastAsia="Times New Roman"/>
          <w:sz w:val="24"/>
          <w:szCs w:val="24"/>
        </w:rPr>
      </w:pPr>
    </w:p>
    <w:p>
      <w:pPr>
        <w:pStyle w:val="Heading"/>
        <w:numPr>
          <w:ilvl w:val="0"/>
          <w:numId w:val="55"/>
        </w:numPr>
        <w:bidi w:val="0"/>
        <w:ind w:right="0"/>
        <w:jc w:val="left"/>
        <w:rPr>
          <w:b w:val="1"/>
          <w:bCs w:val="1"/>
          <w:rtl w:val="0"/>
        </w:rPr>
      </w:pPr>
      <w:bookmarkStart w:name="_Toc13" w:id="15"/>
      <w:r>
        <w:rPr>
          <w:b w:val="1"/>
          <w:bCs w:val="1"/>
          <w:rtl w:val="0"/>
          <w:lang w:val="en-US"/>
        </w:rPr>
        <w:t>POLICY IMPLEMENTATION MONITORING AND EVALUATION</w:t>
      </w:r>
      <w:bookmarkEnd w:id="15"/>
    </w:p>
    <w:p>
      <w:pPr>
        <w:pStyle w:val="Heading 2"/>
        <w:jc w:val="center"/>
        <w:rPr>
          <w:b w:val="1"/>
          <w:bCs w:val="1"/>
        </w:rPr>
      </w:pPr>
      <w:bookmarkStart w:name="_Toc14" w:id="16"/>
      <w:r>
        <w:rPr>
          <w:b w:val="1"/>
          <w:bCs w:val="1"/>
          <w:rtl w:val="0"/>
          <w:lang w:val="en-US"/>
        </w:rPr>
        <w:t>4.1 Key Stakeholders Tasked with Implementation of the Migori County Gender Policy</w:t>
      </w:r>
      <w:bookmarkEnd w:id="16"/>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The Department in charge of Gender Affairs, the Office of the Governor, the County Assembly, the Police Department, the Office of the Attorney, The County Gender Technical working group are the major stakeholders entrusted with implementing this policy. The aforementioned stakeholders shall see to it that this Policy is implemented so that gender equality is present in all aspects of life in Migori County.</w:t>
      </w:r>
    </w:p>
    <w:p>
      <w:pPr>
        <w:pStyle w:val="Heading 2"/>
        <w:jc w:val="center"/>
        <w:rPr>
          <w:b w:val="1"/>
          <w:bCs w:val="1"/>
        </w:rPr>
      </w:pPr>
      <w:bookmarkStart w:name="_Toc15" w:id="17"/>
      <w:r>
        <w:rPr>
          <w:b w:val="1"/>
          <w:bCs w:val="1"/>
          <w:rtl w:val="0"/>
          <w:lang w:val="en-US"/>
        </w:rPr>
        <w:t>4.2 Monitoring and Evaluation Framework</w:t>
      </w:r>
      <w:bookmarkEnd w:id="17"/>
    </w:p>
    <w:p>
      <w:pPr>
        <w:pStyle w:val="Body"/>
        <w:jc w:val="both"/>
        <w:rPr>
          <w:rFonts w:ascii="Times New Roman" w:cs="Times New Roman" w:hAnsi="Times New Roman" w:eastAsia="Times New Roman"/>
          <w:sz w:val="24"/>
          <w:szCs w:val="24"/>
        </w:rPr>
      </w:pPr>
      <w:r>
        <w:rPr>
          <w:rFonts w:ascii="Times New Roman" w:hAnsi="Times New Roman"/>
          <w:sz w:val="24"/>
          <w:szCs w:val="24"/>
          <w:rtl w:val="0"/>
          <w:lang w:val="en-US"/>
        </w:rPr>
        <w:t>To support monitoring, evaluation, learning, and knowledge management in the execution of this policy, a thorough M&amp;E framework will be developed. The following considerations guide the M&amp;E framework:</w:t>
      </w:r>
    </w:p>
    <w:p>
      <w:pPr>
        <w:pStyle w:val="Body"/>
        <w:jc w:val="both"/>
        <w:rPr>
          <w:rFonts w:ascii="Times New Roman" w:cs="Times New Roman" w:hAnsi="Times New Roman" w:eastAsia="Times New Roman"/>
          <w:sz w:val="24"/>
          <w:szCs w:val="24"/>
        </w:rPr>
      </w:pPr>
      <w:r>
        <w:rPr>
          <w:rFonts w:ascii="Times New Roman" w:hAnsi="Times New Roman" w:hint="default"/>
          <w:sz w:val="24"/>
          <w:szCs w:val="24"/>
          <w:rtl w:val="0"/>
          <w:lang w:val="en-US"/>
        </w:rPr>
        <w:t xml:space="preserve">• </w:t>
      </w:r>
      <w:r>
        <w:rPr>
          <w:rFonts w:ascii="Times New Roman" w:hAnsi="Times New Roman"/>
          <w:sz w:val="24"/>
          <w:szCs w:val="24"/>
          <w:rtl w:val="0"/>
          <w:lang w:val="en-US"/>
        </w:rPr>
        <w:t>Comprehensive performance indicators</w:t>
      </w:r>
      <w:r>
        <w:rPr>
          <w:rFonts w:ascii="Times New Roman" w:hAnsi="Times New Roman"/>
          <w:sz w:val="24"/>
          <w:szCs w:val="24"/>
          <w:rtl w:val="0"/>
          <w:lang w:val="en-US"/>
        </w:rPr>
        <w:t>; T</w:t>
      </w:r>
      <w:r>
        <w:rPr>
          <w:rFonts w:ascii="Times New Roman" w:hAnsi="Times New Roman"/>
          <w:sz w:val="24"/>
          <w:szCs w:val="24"/>
          <w:rtl w:val="0"/>
          <w:lang w:val="en-US"/>
        </w:rPr>
        <w:t>he creation of a set of matrices to track progress towards each policy action.</w:t>
      </w:r>
    </w:p>
    <w:p>
      <w:pPr>
        <w:pStyle w:val="Body"/>
        <w:jc w:val="both"/>
        <w:rPr>
          <w:rFonts w:ascii="Times New Roman" w:cs="Times New Roman" w:hAnsi="Times New Roman" w:eastAsia="Times New Roman"/>
          <w:sz w:val="24"/>
          <w:szCs w:val="24"/>
        </w:rPr>
      </w:pPr>
      <w:r>
        <w:rPr>
          <w:rFonts w:ascii="Times New Roman" w:hAnsi="Times New Roman" w:hint="default"/>
          <w:sz w:val="24"/>
          <w:szCs w:val="24"/>
          <w:rtl w:val="0"/>
          <w:lang w:val="en-US"/>
        </w:rPr>
        <w:t xml:space="preserve">• </w:t>
      </w:r>
      <w:r>
        <w:rPr>
          <w:rFonts w:ascii="Times New Roman" w:hAnsi="Times New Roman"/>
          <w:sz w:val="24"/>
          <w:szCs w:val="24"/>
          <w:rtl w:val="0"/>
          <w:lang w:val="en-US"/>
        </w:rPr>
        <w:t>Create a baseline for all indicators.</w:t>
      </w:r>
    </w:p>
    <w:p>
      <w:pPr>
        <w:pStyle w:val="Body"/>
        <w:jc w:val="both"/>
        <w:rPr>
          <w:rFonts w:ascii="Times New Roman" w:cs="Times New Roman" w:hAnsi="Times New Roman" w:eastAsia="Times New Roman"/>
          <w:sz w:val="24"/>
          <w:szCs w:val="24"/>
        </w:rPr>
      </w:pPr>
      <w:r>
        <w:rPr>
          <w:rFonts w:ascii="Times New Roman" w:hAnsi="Times New Roman" w:hint="default"/>
          <w:sz w:val="24"/>
          <w:szCs w:val="24"/>
          <w:rtl w:val="0"/>
          <w:lang w:val="en-US"/>
        </w:rPr>
        <w:t xml:space="preserve">• </w:t>
      </w:r>
      <w:r>
        <w:rPr>
          <w:rFonts w:ascii="Times New Roman" w:hAnsi="Times New Roman"/>
          <w:sz w:val="24"/>
          <w:szCs w:val="24"/>
          <w:rtl w:val="0"/>
          <w:lang w:val="en-US"/>
        </w:rPr>
        <w:t>Scheduled and periodic performance data collection</w:t>
      </w:r>
      <w:r>
        <w:rPr>
          <w:rFonts w:ascii="Times New Roman" w:hAnsi="Times New Roman"/>
          <w:sz w:val="24"/>
          <w:szCs w:val="24"/>
          <w:rtl w:val="0"/>
          <w:lang w:val="en-US"/>
        </w:rPr>
        <w:t xml:space="preserve">; </w:t>
      </w:r>
      <w:r>
        <w:rPr>
          <w:rFonts w:ascii="Times New Roman" w:hAnsi="Times New Roman"/>
          <w:sz w:val="24"/>
          <w:szCs w:val="24"/>
          <w:rtl w:val="0"/>
          <w:lang w:val="en-US"/>
        </w:rPr>
        <w:t>Collecting data for the identified performance indicators is a critical stage in the results-based process.</w:t>
      </w:r>
    </w:p>
    <w:p>
      <w:pPr>
        <w:pStyle w:val="Heading 2"/>
        <w:jc w:val="center"/>
        <w:rPr>
          <w:b w:val="1"/>
          <w:bCs w:val="1"/>
        </w:rPr>
      </w:pPr>
      <w:bookmarkStart w:name="_Toc16" w:id="18"/>
      <w:r>
        <w:rPr>
          <w:b w:val="1"/>
          <w:bCs w:val="1"/>
          <w:rtl w:val="0"/>
          <w:lang w:val="en-US"/>
        </w:rPr>
        <w:t>4.3 Policy Review</w:t>
      </w:r>
      <w:bookmarkEnd w:id="18"/>
    </w:p>
    <w:p>
      <w:pPr>
        <w:pStyle w:val="Body"/>
        <w:jc w:val="both"/>
      </w:pPr>
      <w:r>
        <w:rPr>
          <w:rFonts w:ascii="Times New Roman" w:hAnsi="Times New Roman"/>
          <w:sz w:val="24"/>
          <w:szCs w:val="24"/>
          <w:rtl w:val="0"/>
          <w:lang w:val="en-US"/>
        </w:rPr>
        <w:t xml:space="preserve">This Policy will be implemented over a five-year period from 2023 to 2027, with a mid-term review every three years to assess progress and any significant changes that the County </w:t>
      </w:r>
      <w:r>
        <w:rPr>
          <w:rFonts w:ascii="Times New Roman" w:hAnsi="Times New Roman"/>
          <w:sz w:val="24"/>
          <w:szCs w:val="24"/>
          <w:rtl w:val="0"/>
          <w:lang w:val="en-US"/>
        </w:rPr>
        <w:t>realizes</w:t>
      </w:r>
      <w:r>
        <w:rPr>
          <w:rFonts w:ascii="Times New Roman" w:hAnsi="Times New Roman"/>
          <w:sz w:val="24"/>
          <w:szCs w:val="24"/>
          <w:rtl w:val="0"/>
          <w:lang w:val="en-US"/>
        </w:rPr>
        <w:t>. The Gender Department will convene stakeholders on an annual basis to share implementation progress.</w:t>
      </w:r>
    </w:p>
    <w:sectPr>
      <w:headerReference w:type="default" r:id="rId4"/>
      <w:headerReference w:type="even" r:id="rId5"/>
      <w:footerReference w:type="default" r:id="rId6"/>
      <w:footerReference w:type="even" r:id="rId7"/>
      <w:pgSz w:w="11900" w:h="16840" w:orient="portrait"/>
      <w:pgMar w:top="1440" w:right="1440" w:bottom="1440" w:left="1440" w:header="708" w:footer="708"/>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7" w:author="Prof. Rose A. Odhiambo" w:date="2023-10-18T16:11:00Z">
    <w:p w14:paraId="1111FFFF">
      <w:pPr>
        <w:pStyle w:val="Default"/>
        <w:bidi w:val="0"/>
      </w:pPr>
    </w:p>
    <w:p w14:paraId="11120000">
      <w:pPr>
        <w:pStyle w:val="Default"/>
        <w:bidi w:val="0"/>
      </w:pPr>
      <w:r>
        <w:rPr>
          <w:rFonts w:cs="Arial Unicode MS" w:eastAsia="Arial Unicode MS"/>
          <w:rtl w:val="0"/>
        </w:rPr>
        <w:t>Gender responsive</w:t>
      </w:r>
    </w:p>
  </w:comment>
  <w:comment w:id="8" w:author="Prof. Rose A. Odhiambo" w:date="2023-10-18T16:10:00Z">
    <w:p w14:paraId="11120001">
      <w:pPr>
        <w:pStyle w:val="Default"/>
        <w:bidi w:val="0"/>
      </w:pPr>
    </w:p>
    <w:p w14:paraId="11120002">
      <w:pPr>
        <w:pStyle w:val="Default"/>
        <w:bidi w:val="0"/>
      </w:pPr>
      <w:r>
        <w:rPr>
          <w:rFonts w:cs="Arial Unicode MS" w:eastAsia="Arial Unicode MS"/>
          <w:rtl w:val="0"/>
        </w:rPr>
        <w:t>sex and gender</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Light">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91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ind w:left="1240" w:hanging="6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240" w:hanging="6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ind w:left="1570" w:hanging="99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570" w:hanging="99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1.%2.%3.%4.%5.%6.%7."/>
      <w:lvlJc w:val="left"/>
      <w:pPr>
        <w:ind w:left="1900" w:hanging="13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900" w:hanging="13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900" w:hanging="1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ind w:left="127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27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ind w:left="1600" w:hanging="6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600" w:hanging="6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ind w:left="1930" w:hanging="99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930" w:hanging="99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1.%2.%3.%4.%5.%6.%7."/>
      <w:lvlJc w:val="left"/>
      <w:pPr>
        <w:ind w:left="2260" w:hanging="13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260" w:hanging="13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1.%2.%3.%4.%5.%6.%7.%8.%9."/>
      <w:lvlJc w:val="left"/>
      <w:pPr>
        <w:ind w:left="2590" w:hanging="165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
  </w:abstractNum>
  <w:abstractNum w:abstractNumId="3">
    <w:multiLevelType w:val="hybridMultilevel"/>
    <w:styleLink w:val="Imported Style 1"/>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ind w:left="10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ind w:left="1440" w:hanging="10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1.%2.%3.%4.%5.%6.%7."/>
      <w:lvlJc w:val="left"/>
      <w:pPr>
        <w:ind w:left="180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80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2"/>
  </w:abstractNum>
  <w:abstractNum w:abstractNumId="5">
    <w:multiLevelType w:val="hybridMultilevel"/>
    <w:styleLink w:val="Imported Style 2"/>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3"/>
  </w:abstractNum>
  <w:abstractNum w:abstractNumId="7">
    <w:multiLevelType w:val="hybridMultilevel"/>
    <w:styleLink w:val="Imported Style 3"/>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4"/>
  </w:abstractNum>
  <w:abstractNum w:abstractNumId="9">
    <w:multiLevelType w:val="hybridMultilevel"/>
    <w:styleLink w:val="Imported Style 4"/>
    <w:lvl w:ilvl="0">
      <w:start w:val="1"/>
      <w:numFmt w:val="lowerLetter"/>
      <w:suff w:val="tab"/>
      <w:lvlText w:val="(%1)"/>
      <w:lvlJc w:val="left"/>
      <w:pPr>
        <w:ind w:left="98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702"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422"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142"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862"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582"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302"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022"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742"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5"/>
  </w:abstractNum>
  <w:abstractNum w:abstractNumId="11">
    <w:multiLevelType w:val="hybridMultilevel"/>
    <w:styleLink w:val="Imported Style 5"/>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6"/>
  </w:abstractNum>
  <w:abstractNum w:abstractNumId="13">
    <w:multiLevelType w:val="hybridMultilevel"/>
    <w:styleLink w:val="Imported Style 6"/>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7"/>
  </w:abstractNum>
  <w:abstractNum w:abstractNumId="15">
    <w:multiLevelType w:val="hybridMultilevel"/>
    <w:styleLink w:val="Imported Style 7"/>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8"/>
  </w:abstractNum>
  <w:abstractNum w:abstractNumId="17">
    <w:multiLevelType w:val="hybridMultilevel"/>
    <w:styleLink w:val="Imported Style 8"/>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9"/>
  </w:abstractNum>
  <w:abstractNum w:abstractNumId="19">
    <w:multiLevelType w:val="hybridMultilevel"/>
    <w:styleLink w:val="Imported Style 9"/>
    <w:lvl w:ilvl="0">
      <w:start w:val="1"/>
      <w:numFmt w:val="lowerLetter"/>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0"/>
  </w:abstractNum>
  <w:abstractNum w:abstractNumId="21">
    <w:multiLevelType w:val="hybridMultilevel"/>
    <w:styleLink w:val="Imported Style 10"/>
    <w:lvl w:ilvl="0">
      <w:start w:val="1"/>
      <w:numFmt w:val="decimal"/>
      <w:suff w:val="tab"/>
      <w:lvlText w:val="%1."/>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ind w:left="144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44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ind w:left="1800" w:hanging="10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800" w:hanging="10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1.%2.%3.%4.%5.%6.%7."/>
      <w:lvlJc w:val="left"/>
      <w:pPr>
        <w:ind w:left="216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16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1.%2.%3.%4.%5.%6.%7.%8.%9."/>
      <w:lvlJc w:val="left"/>
      <w:pPr>
        <w:ind w:left="2520" w:hanging="180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lvl w:ilvl="0">
      <w:start w:val="1"/>
      <w:numFmt w:val="bullet"/>
      <w:suff w:val="tab"/>
      <w:lvlText w:val="·"/>
      <w:lvlJc w:val="left"/>
      <w:pPr>
        <w:ind w:left="69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suff w:val="tab"/>
      <w:lvlText w:val="o"/>
      <w:lvlJc w:val="left"/>
      <w:pPr>
        <w:ind w:left="141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bullet"/>
      <w:suff w:val="tab"/>
      <w:lvlText w:val="▪"/>
      <w:lvlJc w:val="left"/>
      <w:pPr>
        <w:ind w:left="213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bullet"/>
      <w:suff w:val="tab"/>
      <w:lvlText w:val="·"/>
      <w:lvlJc w:val="left"/>
      <w:pPr>
        <w:ind w:left="285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bullet"/>
      <w:suff w:val="tab"/>
      <w:lvlText w:val="o"/>
      <w:lvlJc w:val="left"/>
      <w:pPr>
        <w:ind w:left="357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bullet"/>
      <w:suff w:val="tab"/>
      <w:lvlText w:val="▪"/>
      <w:lvlJc w:val="left"/>
      <w:pPr>
        <w:ind w:left="429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bullet"/>
      <w:suff w:val="tab"/>
      <w:lvlText w:val="·"/>
      <w:lvlJc w:val="left"/>
      <w:pPr>
        <w:ind w:left="501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bullet"/>
      <w:suff w:val="tab"/>
      <w:lvlText w:val="o"/>
      <w:lvlJc w:val="left"/>
      <w:pPr>
        <w:ind w:left="573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bullet"/>
      <w:suff w:val="tab"/>
      <w:lvlText w:val="▪"/>
      <w:lvlJc w:val="left"/>
      <w:pPr>
        <w:ind w:left="645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27">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lvl w:ilvl="0">
      <w:start w:val="1"/>
      <w:numFmt w:val="bullet"/>
      <w:suff w:val="tab"/>
      <w:lvlText w:val="·"/>
      <w:lvlJc w:val="left"/>
      <w:pPr>
        <w:ind w:left="77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9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1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3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5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7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9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1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3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multiLevelType w:val="hybridMultilevel"/>
    <w:lvl w:ilvl="0">
      <w:start w:val="1"/>
      <w:numFmt w:val="lowerLetter"/>
      <w:suff w:val="tab"/>
      <w:lvlText w:val="(%1)"/>
      <w:lvlJc w:val="left"/>
      <w:pPr>
        <w:ind w:left="818" w:hanging="42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538"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58" w:hanging="36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78"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98"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418" w:hanging="36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38"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58"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78" w:hanging="3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multiLevelType w:val="hybridMultilevel"/>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1">
      <w:startOverride w:val="2"/>
    </w:lvlOverride>
  </w:num>
  <w:num w:numId="3">
    <w:abstractNumId w:val="1"/>
  </w:num>
  <w:num w:numId="4">
    <w:abstractNumId w:val="1"/>
    <w:lvlOverride w:ilvl="0">
      <w:startOverride w:val="3"/>
    </w:lvlOverride>
  </w:num>
  <w:num w:numId="5">
    <w:abstractNumId w:val="1"/>
    <w:lvlOverride w:ilvl="0">
      <w:startOverride w:val="4"/>
      <w:lvl w:ilvl="0">
        <w:start w:val="4"/>
        <w:numFmt w:val="decimal"/>
        <w:suff w:val="tab"/>
        <w:lvlText w:val="%1."/>
        <w:lvlJc w:val="left"/>
        <w:pPr>
          <w:ind w:left="105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105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1.%2.%3."/>
        <w:lvlJc w:val="left"/>
        <w:pPr>
          <w:ind w:left="1380" w:hanging="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380" w:hanging="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1.%2.%3.%4.%5."/>
        <w:lvlJc w:val="left"/>
        <w:pPr>
          <w:ind w:left="171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710"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1.%2.%3.%4.%5.%6.%7."/>
        <w:lvlJc w:val="left"/>
        <w:pPr>
          <w:ind w:left="2040" w:hanging="1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040" w:hanging="1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1.%2.%3.%4.%5.%6.%7.%8.%9."/>
        <w:lvlJc w:val="left"/>
        <w:pPr>
          <w:ind w:left="2370" w:hanging="165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3"/>
  </w:num>
  <w:num w:numId="7">
    <w:abstractNumId w:val="2"/>
  </w:num>
  <w:num w:numId="8">
    <w:abstractNumId w:val="5"/>
  </w:num>
  <w:num w:numId="9">
    <w:abstractNumId w:val="4"/>
  </w:num>
  <w:num w:numId="10">
    <w:abstractNumId w:val="7"/>
  </w:num>
  <w:num w:numId="11">
    <w:abstractNumId w:val="6"/>
  </w:num>
  <w:num w:numId="12">
    <w:abstractNumId w:val="9"/>
  </w:num>
  <w:num w:numId="13">
    <w:abstractNumId w:val="8"/>
  </w:num>
  <w:num w:numId="14">
    <w:abstractNumId w:val="11"/>
  </w:num>
  <w:num w:numId="15">
    <w:abstractNumId w:val="10"/>
  </w:num>
  <w:num w:numId="16">
    <w:abstractNumId w:val="2"/>
    <w:lvlOverride w:ilvl="1">
      <w:startOverride w:val="2"/>
    </w:lvlOverride>
  </w:num>
  <w:num w:numId="17">
    <w:abstractNumId w:val="13"/>
  </w:num>
  <w:num w:numId="18">
    <w:abstractNumId w:val="12"/>
  </w:num>
  <w:num w:numId="19">
    <w:abstractNumId w:val="15"/>
  </w:num>
  <w:num w:numId="20">
    <w:abstractNumId w:val="14"/>
  </w:num>
  <w:num w:numId="21">
    <w:abstractNumId w:val="17"/>
  </w:num>
  <w:num w:numId="22">
    <w:abstractNumId w:val="16"/>
  </w:num>
  <w:num w:numId="23">
    <w:abstractNumId w:val="19"/>
  </w:num>
  <w:num w:numId="24">
    <w:abstractNumId w:val="18"/>
  </w:num>
  <w:num w:numId="25">
    <w:abstractNumId w:val="21"/>
  </w:num>
  <w:num w:numId="26">
    <w:abstractNumId w:val="20"/>
  </w:num>
  <w:num w:numId="27">
    <w:abstractNumId w:val="20"/>
    <w:lvlOverride w:ilvl="0">
      <w:startOverride w:val="3"/>
    </w:lvlOverride>
  </w:num>
  <w:num w:numId="28">
    <w:abstractNumId w:val="22"/>
  </w:num>
  <w:num w:numId="29">
    <w:abstractNumId w:val="23"/>
  </w:num>
  <w:num w:numId="30">
    <w:abstractNumId w:val="24"/>
  </w:num>
  <w:num w:numId="31">
    <w:abstractNumId w:val="25"/>
  </w:num>
  <w:num w:numId="32">
    <w:abstractNumId w:val="26"/>
  </w:num>
  <w:num w:numId="33">
    <w:abstractNumId w:val="27"/>
  </w:num>
  <w:num w:numId="34">
    <w:abstractNumId w:val="28"/>
  </w:num>
  <w:num w:numId="35">
    <w:abstractNumId w:val="29"/>
  </w:num>
  <w:num w:numId="36">
    <w:abstractNumId w:val="30"/>
  </w:num>
  <w:num w:numId="37">
    <w:abstractNumId w:val="31"/>
  </w:num>
  <w:num w:numId="38">
    <w:abstractNumId w:val="32"/>
  </w:num>
  <w:num w:numId="39">
    <w:abstractNumId w:val="33"/>
  </w:num>
  <w:num w:numId="40">
    <w:abstractNumId w:val="34"/>
  </w:num>
  <w:num w:numId="41">
    <w:abstractNumId w:val="35"/>
  </w:num>
  <w:num w:numId="42">
    <w:abstractNumId w:val="36"/>
  </w:num>
  <w:num w:numId="43">
    <w:abstractNumId w:val="37"/>
  </w:num>
  <w:num w:numId="44">
    <w:abstractNumId w:val="38"/>
  </w:num>
  <w:num w:numId="45">
    <w:abstractNumId w:val="39"/>
  </w:num>
  <w:num w:numId="46">
    <w:abstractNumId w:val="40"/>
  </w:num>
  <w:num w:numId="47">
    <w:abstractNumId w:val="41"/>
  </w:num>
  <w:num w:numId="48">
    <w:abstractNumId w:val="42"/>
  </w:num>
  <w:num w:numId="49">
    <w:abstractNumId w:val="43"/>
  </w:num>
  <w:num w:numId="50">
    <w:abstractNumId w:val="44"/>
  </w:num>
  <w:num w:numId="51">
    <w:abstractNumId w:val="45"/>
  </w:num>
  <w:num w:numId="52">
    <w:abstractNumId w:val="46"/>
  </w:num>
  <w:num w:numId="53">
    <w:abstractNumId w:val="47"/>
  </w:num>
  <w:num w:numId="54">
    <w:abstractNumId w:val="48"/>
  </w:num>
  <w:num w:numId="55">
    <w:abstractNumId w:val="20"/>
    <w:lvlOverride w:ilvl="0">
      <w:startOverride w:val="4"/>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OC Heading">
    <w:name w:val="TOC Heading"/>
    <w:next w:val="Body"/>
    <w:pPr>
      <w:keepNext w:val="1"/>
      <w:keepLines w:val="1"/>
      <w:pageBreakBefore w:val="0"/>
      <w:widowControl w:val="1"/>
      <w:shd w:val="clear" w:color="auto" w:fill="auto"/>
      <w:suppressAutoHyphens w:val="0"/>
      <w:bidi w:val="0"/>
      <w:spacing w:before="240" w:after="0" w:line="259" w:lineRule="auto"/>
      <w:ind w:left="0" w:right="0" w:firstLine="0"/>
      <w:jc w:val="left"/>
      <w:outlineLvl w:val="9"/>
    </w:pPr>
    <w:rPr>
      <w:rFonts w:ascii="Calibri Light" w:cs="Arial Unicode MS" w:hAnsi="Calibri Light" w:eastAsia="Arial Unicode MS"/>
      <w:b w:val="0"/>
      <w:bCs w:val="0"/>
      <w:i w:val="0"/>
      <w:iCs w:val="0"/>
      <w:caps w:val="0"/>
      <w:smallCaps w:val="0"/>
      <w:strike w:val="0"/>
      <w:dstrike w:val="0"/>
      <w:outline w:val="0"/>
      <w:color w:val="2f5496"/>
      <w:spacing w:val="0"/>
      <w:kern w:val="0"/>
      <w:position w:val="0"/>
      <w:sz w:val="32"/>
      <w:szCs w:val="32"/>
      <w:u w:val="none" w:color="2f5496"/>
      <w:shd w:val="nil" w:color="auto" w:fill="auto"/>
      <w:vertAlign w:val="baseline"/>
      <w:lang w:val="en-US"/>
      <w14:textFill>
        <w14:solidFill>
          <w14:srgbClr w14:val="2F5496"/>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TOC 1">
    <w:name w:val="TOC 1"/>
    <w:next w:val="TOC 1"/>
    <w:pPr>
      <w:keepNext w:val="0"/>
      <w:keepLines w:val="0"/>
      <w:pageBreakBefore w:val="0"/>
      <w:widowControl w:val="1"/>
      <w:shd w:val="clear" w:color="auto" w:fill="auto"/>
      <w:tabs>
        <w:tab w:val="left" w:pos="440"/>
        <w:tab w:val="right" w:pos="9000" w:leader="dot"/>
      </w:tabs>
      <w:suppressAutoHyphens w:val="0"/>
      <w:bidi w:val="0"/>
      <w:spacing w:before="0" w:after="10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40" w:after="0" w:line="259" w:lineRule="auto"/>
      <w:ind w:left="0" w:right="0" w:firstLine="0"/>
      <w:jc w:val="left"/>
      <w:outlineLvl w:val="0"/>
    </w:pPr>
    <w:rPr>
      <w:rFonts w:ascii="Times New Roman" w:cs="Times New Roman" w:hAnsi="Times New Roman" w:eastAsia="Times New Roman"/>
      <w:b w:val="0"/>
      <w:bCs w:val="0"/>
      <w:i w:val="0"/>
      <w:iCs w:val="0"/>
      <w:caps w:val="0"/>
      <w:smallCaps w:val="0"/>
      <w:strike w:val="0"/>
      <w:dstrike w:val="0"/>
      <w:outline w:val="0"/>
      <w:color w:val="2f5496"/>
      <w:spacing w:val="0"/>
      <w:kern w:val="0"/>
      <w:position w:val="0"/>
      <w:sz w:val="24"/>
      <w:szCs w:val="24"/>
      <w:u w:val="none" w:color="2f5496"/>
      <w:shd w:val="nil" w:color="auto" w:fill="auto"/>
      <w:vertAlign w:val="baseline"/>
      <w14:textOutline>
        <w14:noFill/>
      </w14:textOutline>
      <w14:textFill>
        <w14:solidFill>
          <w14:srgbClr w14:val="2F5496"/>
        </w14:solidFill>
      </w14:textFill>
    </w:rPr>
  </w:style>
  <w:style w:type="paragraph" w:styleId="TOC 2">
    <w:name w:val="TOC 2"/>
    <w:next w:val="TOC 2"/>
    <w:pPr>
      <w:keepNext w:val="0"/>
      <w:keepLines w:val="0"/>
      <w:pageBreakBefore w:val="0"/>
      <w:widowControl w:val="1"/>
      <w:shd w:val="clear" w:color="auto" w:fill="auto"/>
      <w:tabs>
        <w:tab w:val="right" w:pos="9000" w:leader="dot"/>
      </w:tabs>
      <w:suppressAutoHyphens w:val="0"/>
      <w:bidi w:val="0"/>
      <w:spacing w:before="0" w:after="100" w:line="259" w:lineRule="auto"/>
      <w:ind w:left="2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40" w:after="0" w:line="259" w:lineRule="auto"/>
      <w:ind w:left="0" w:right="0" w:firstLine="0"/>
      <w:jc w:val="left"/>
      <w:outlineLvl w:val="1"/>
    </w:pPr>
    <w:rPr>
      <w:rFonts w:ascii="Times New Roman" w:cs="Times New Roman" w:hAnsi="Times New Roman" w:eastAsia="Times New Roman"/>
      <w:b w:val="0"/>
      <w:bCs w:val="0"/>
      <w:i w:val="0"/>
      <w:iCs w:val="0"/>
      <w:caps w:val="0"/>
      <w:smallCaps w:val="0"/>
      <w:strike w:val="0"/>
      <w:dstrike w:val="0"/>
      <w:outline w:val="0"/>
      <w:color w:val="2f5496"/>
      <w:spacing w:val="0"/>
      <w:kern w:val="0"/>
      <w:position w:val="0"/>
      <w:sz w:val="24"/>
      <w:szCs w:val="24"/>
      <w:u w:val="none" w:color="2f5496"/>
      <w:shd w:val="nil" w:color="auto" w:fill="auto"/>
      <w:vertAlign w:val="baseline"/>
      <w14:textOutline>
        <w14:noFill/>
      </w14:textOutline>
      <w14:textFill>
        <w14:solidFill>
          <w14:srgbClr w14:val="2F5496"/>
        </w14:solidFill>
      </w14:textFill>
    </w:rPr>
  </w:style>
  <w:style w:type="numbering" w:styleId="Imported Style 1">
    <w:name w:val="Imported Style 1"/>
    <w:pPr>
      <w:numPr>
        <w:numId w:val="6"/>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8"/>
      </w:numPr>
    </w:pPr>
  </w:style>
  <w:style w:type="numbering" w:styleId="Imported Style 3">
    <w:name w:val="Imported Style 3"/>
    <w:pPr>
      <w:numPr>
        <w:numId w:val="10"/>
      </w:numPr>
    </w:pPr>
  </w:style>
  <w:style w:type="numbering" w:styleId="Imported Style 4">
    <w:name w:val="Imported Style 4"/>
    <w:pPr>
      <w:numPr>
        <w:numId w:val="12"/>
      </w:numPr>
    </w:pPr>
  </w:style>
  <w:style w:type="numbering" w:styleId="Imported Style 5">
    <w:name w:val="Imported Style 5"/>
    <w:pPr>
      <w:numPr>
        <w:numId w:val="14"/>
      </w:numPr>
    </w:pPr>
  </w:style>
  <w:style w:type="numbering" w:styleId="Imported Style 6">
    <w:name w:val="Imported Style 6"/>
    <w:pPr>
      <w:numPr>
        <w:numId w:val="17"/>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7">
    <w:name w:val="Imported Style 7"/>
    <w:pPr>
      <w:numPr>
        <w:numId w:val="19"/>
      </w:numPr>
    </w:pPr>
  </w:style>
  <w:style w:type="numbering" w:styleId="Imported Style 8">
    <w:name w:val="Imported Style 8"/>
    <w:pPr>
      <w:numPr>
        <w:numId w:val="21"/>
      </w:numPr>
    </w:pPr>
  </w:style>
  <w:style w:type="numbering" w:styleId="Imported Style 9">
    <w:name w:val="Imported Style 9"/>
    <w:pPr>
      <w:numPr>
        <w:numId w:val="23"/>
      </w:numPr>
    </w:pPr>
  </w:style>
  <w:style w:type="numbering" w:styleId="Imported Style 10">
    <w:name w:val="Imported Style 10"/>
    <w:pPr>
      <w:numPr>
        <w:numId w:val="2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comments" Target="comments.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